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hint="eastAsia"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hint="eastAsia" w:ascii="宋体" w:hAnsi="宋体" w:eastAsia="宋体" w:cs="Times New Roman"/>
          <w:b/>
          <w:bCs/>
          <w:sz w:val="72"/>
          <w:szCs w:val="72"/>
        </w:rPr>
      </w:pPr>
      <w:r>
        <w:rPr>
          <w:rFonts w:hint="eastAsia" w:ascii="宋体" w:hAnsi="宋体" w:eastAsia="宋体" w:cs="Times New Roman"/>
          <w:b/>
          <w:bCs/>
          <w:sz w:val="72"/>
          <w:szCs w:val="72"/>
        </w:rPr>
      </w:r>
      <w:r/>
    </w:p>
    <w:p>
      <w:pPr>
        <w:jc w:val="center"/>
        <w:rPr>
          <w:rFonts w:hint="eastAsia" w:ascii="宋体" w:hAnsi="宋体" w:eastAsia="宋体" w:cs="Times New Roman"/>
          <w:b/>
          <w:bCs/>
          <w:sz w:val="72"/>
          <w:szCs w:val="72"/>
        </w:rPr>
      </w:pPr>
      <w:r>
        <w:rPr>
          <w:rFonts w:hint="eastAsia" w:ascii="宋体" w:hAnsi="宋体" w:eastAsia="宋体" w:cs="Times New Roman"/>
          <w:b/>
          <w:bCs/>
          <w:sz w:val="72"/>
          <w:szCs w:val="72"/>
        </w:rPr>
      </w:r>
      <w:r/>
    </w:p>
    <w:p>
      <w:pPr>
        <w:ind w:left="3207" w:hanging="2249"/>
        <w:spacing w:line="360" w:lineRule="auto"/>
        <w:rPr>
          <w:rFonts w:hint="eastAsia"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00"/>
      <w:r/>
      <w:bookmarkStart w:id="1" w:name="_Toc311189771"/>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江阴市人民医院监护仪</w:t>
      </w:r>
      <w:r>
        <w:rPr>
          <w:rFonts w:hint="eastAsia"/>
          <w:bCs/>
          <w:sz w:val="32"/>
          <w:szCs w:val="32"/>
        </w:rPr>
        <w:t xml:space="preserve">（江阴市紧急医学救援中心用）</w:t>
      </w:r>
      <w:r>
        <w:rPr>
          <w:rFonts w:hint="eastAsia" w:ascii="宋体" w:hAnsi="宋体" w:eastAsia="宋体" w:cs="宋体"/>
          <w:bCs/>
          <w:sz w:val="32"/>
          <w:szCs w:val="32"/>
        </w:rPr>
        <w:t xml:space="preserve">采购项目</w:t>
      </w:r>
      <w:r/>
    </w:p>
    <w:p>
      <w:pPr>
        <w:ind w:left="1279" w:hanging="321"/>
        <w:spacing w:line="360" w:lineRule="auto"/>
        <w:rPr>
          <w:rFonts w:hint="eastAsia"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宋体"/>
          <w:bCs/>
          <w:sz w:val="32"/>
          <w:szCs w:val="32"/>
        </w:rPr>
        <w:t xml:space="preserve">JSZC-320281-JZCG-G2026-0041</w:t>
      </w:r>
      <w:r/>
    </w:p>
    <w:p>
      <w:pPr>
        <w:ind w:firstLine="964"/>
        <w:keepLines/>
        <w:keepNext/>
        <w:spacing w:line="360" w:lineRule="auto"/>
        <w:rPr>
          <w:rFonts w:hint="eastAsia"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二○二六年六月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82"/>
        <w:spacing w:line="600" w:lineRule="exact"/>
        <w:tabs>
          <w:tab w:val="right" w:pos="9402" w:leader="dot"/>
        </w:tabs>
        <w:rPr>
          <w:rFonts w:hint="eastAsia"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895"/>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xml:space="preserve">- 2 -</w:t>
      </w:r>
      <w:r>
        <w:rPr>
          <w:rFonts w:eastAsia="宋体"/>
          <w:sz w:val="30"/>
          <w:szCs w:val="30"/>
        </w:rPr>
        <w:fldChar w:fldCharType="end"/>
      </w:r>
      <w:r>
        <w:rPr>
          <w:rFonts w:eastAsia="宋体"/>
          <w:sz w:val="30"/>
          <w:szCs w:val="30"/>
        </w:rPr>
        <w:fldChar w:fldCharType="end"/>
      </w:r>
      <w:r/>
    </w:p>
    <w:p>
      <w:pPr>
        <w:pStyle w:val="882"/>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"_Toc213847314" </w:instrText>
      </w:r>
      <w:r>
        <w:fldChar w:fldCharType="separate"/>
      </w:r>
      <w:r>
        <w:rPr>
          <w:rStyle w:val="895"/>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xml:space="preserve">- 5 -</w:t>
      </w:r>
      <w:r>
        <w:rPr>
          <w:rFonts w:eastAsia="宋体"/>
          <w:sz w:val="30"/>
          <w:szCs w:val="30"/>
        </w:rPr>
        <w:fldChar w:fldCharType="end"/>
      </w:r>
      <w:r>
        <w:rPr>
          <w:rFonts w:eastAsia="宋体"/>
          <w:sz w:val="30"/>
          <w:szCs w:val="30"/>
        </w:rPr>
        <w:fldChar w:fldCharType="end"/>
      </w:r>
      <w:r/>
    </w:p>
    <w:p>
      <w:pPr>
        <w:pStyle w:val="882"/>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"_Toc213847315" </w:instrText>
      </w:r>
      <w:r>
        <w:fldChar w:fldCharType="separate"/>
      </w:r>
      <w:r>
        <w:rPr>
          <w:rStyle w:val="895"/>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fldChar w:fldCharType="separate"/>
      </w:r>
      <w:r>
        <w:rPr>
          <w:rFonts w:eastAsia="宋体"/>
          <w:sz w:val="30"/>
          <w:szCs w:val="30"/>
        </w:rPr>
        <w:t xml:space="preserve">- 18 -</w:t>
      </w:r>
      <w:r>
        <w:rPr>
          <w:rFonts w:eastAsia="宋体"/>
          <w:sz w:val="30"/>
          <w:szCs w:val="30"/>
        </w:rPr>
        <w:fldChar w:fldCharType="end"/>
      </w:r>
      <w:r>
        <w:rPr>
          <w:rFonts w:eastAsia="宋体"/>
          <w:sz w:val="30"/>
          <w:szCs w:val="30"/>
        </w:rPr>
        <w:fldChar w:fldCharType="end"/>
      </w:r>
      <w:r/>
    </w:p>
    <w:p>
      <w:pPr>
        <w:pStyle w:val="882"/>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"_Toc213847316" </w:instrText>
      </w:r>
      <w:r>
        <w:fldChar w:fldCharType="separate"/>
      </w:r>
      <w:r>
        <w:rPr>
          <w:rStyle w:val="895"/>
          <w:rFonts w:hint="eastAsia" w:ascii="宋体" w:hAnsi="宋体" w:eastAsia="宋体"/>
          <w:color w:val="auto"/>
          <w:sz w:val="30"/>
          <w:szCs w:val="30"/>
        </w:rPr>
        <w:t xml:space="preserve">第四章</w:t>
      </w:r>
      <w:r>
        <w:rPr>
          <w:rStyle w:val="895"/>
          <w:rFonts w:ascii="宋体" w:hAnsi="宋体" w:eastAsia="宋体"/>
          <w:color w:val="auto"/>
          <w:sz w:val="30"/>
          <w:szCs w:val="30"/>
        </w:rPr>
        <w:t xml:space="preserve">  </w:t>
      </w:r>
      <w:r>
        <w:rPr>
          <w:rStyle w:val="895"/>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xml:space="preserve">- 25 -</w:t>
      </w:r>
      <w:r>
        <w:rPr>
          <w:rFonts w:eastAsia="宋体"/>
          <w:sz w:val="30"/>
          <w:szCs w:val="30"/>
        </w:rPr>
        <w:fldChar w:fldCharType="end"/>
      </w:r>
      <w:r>
        <w:rPr>
          <w:rFonts w:eastAsia="宋体"/>
          <w:sz w:val="30"/>
          <w:szCs w:val="30"/>
        </w:rPr>
        <w:fldChar w:fldCharType="end"/>
      </w:r>
      <w:r/>
    </w:p>
    <w:p>
      <w:pPr>
        <w:pStyle w:val="882"/>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"_Toc213847317" </w:instrText>
      </w:r>
      <w:r>
        <w:fldChar w:fldCharType="separate"/>
      </w:r>
      <w:r>
        <w:rPr>
          <w:rStyle w:val="895"/>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xml:space="preserve">- 28 -</w:t>
      </w:r>
      <w:r>
        <w:rPr>
          <w:rFonts w:eastAsia="宋体"/>
          <w:sz w:val="30"/>
          <w:szCs w:val="30"/>
        </w:rPr>
        <w:fldChar w:fldCharType="end"/>
      </w:r>
      <w:r>
        <w:rPr>
          <w:rFonts w:eastAsia="宋体"/>
          <w:sz w:val="30"/>
          <w:szCs w:val="30"/>
        </w:rPr>
        <w:fldChar w:fldCharType="end"/>
      </w:r>
      <w:r/>
    </w:p>
    <w:p>
      <w:pPr>
        <w:pStyle w:val="882"/>
        <w:spacing w:line="600" w:lineRule="exact"/>
        <w:tabs>
          <w:tab w:val="right" w:pos="9402" w:leader="dot"/>
        </w:tabs>
        <w:rPr>
          <w:rFonts w:hint="eastAsia" w:ascii="宋体" w:hAnsi="宋体" w:eastAsia="宋体"/>
          <w:b w:val="0"/>
          <w:bCs w:val="0"/>
          <w:caps w:val="0"/>
          <w:sz w:val="30"/>
          <w:szCs w:val="30"/>
        </w:rPr>
      </w:pPr>
      <w:r>
        <w:fldChar w:fldCharType="begin"/>
      </w:r>
      <w:r>
        <w:instrText xml:space="preserve"> HYPERLINK \l "_Toc213847318" </w:instrText>
      </w:r>
      <w:r>
        <w:fldChar w:fldCharType="separate"/>
      </w:r>
      <w:r>
        <w:rPr>
          <w:rStyle w:val="895"/>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xml:space="preserve">- 32 -</w:t>
      </w:r>
      <w:r>
        <w:rPr>
          <w:rFonts w:eastAsia="宋体"/>
          <w:sz w:val="30"/>
          <w:szCs w:val="30"/>
        </w:rPr>
        <w:fldChar w:fldCharType="end"/>
      </w:r>
      <w:r>
        <w:rPr>
          <w:rFonts w:eastAsia="宋体"/>
          <w:sz w:val="30"/>
          <w:szCs w:val="30"/>
        </w:rPr>
        <w:fldChar w:fldCharType="end"/>
      </w:r>
      <w:r/>
    </w:p>
    <w:p>
      <w:pPr>
        <w:pStyle w:val="888"/>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357"/>
      <w:r/>
      <w:bookmarkStart w:id="5" w:name="_Toc166593155"/>
      <w:r/>
      <w:r/>
    </w:p>
    <w:p>
      <w:pPr>
        <w:pStyle w:val="888"/>
      </w:pPr>
      <w:r/>
      <w:r/>
    </w:p>
    <w:p>
      <w:pPr>
        <w:pStyle w:val="888"/>
      </w:pPr>
      <w:r/>
      <w:bookmarkStart w:id="6" w:name="_Toc213847313"/>
      <w:r>
        <w:rPr>
          <w:rFonts w:hint="eastAsia"/>
        </w:rPr>
        <w:t xml:space="preserve">第一章　投标邀请</w:t>
      </w:r>
      <w:bookmarkEnd w:id="4"/>
      <w:r/>
      <w:bookmarkEnd w:id="5"/>
      <w:r/>
      <w:bookmarkEnd w:id="6"/>
      <w:r/>
      <w:r/>
    </w:p>
    <w:p>
      <w:pPr>
        <w:jc w:val="center"/>
        <w:spacing w:line="400" w:lineRule="exact"/>
        <w:rPr>
          <w:rFonts w:hint="eastAsia" w:ascii="宋体" w:hAnsi="宋体" w:eastAsia="宋体" w:cs="Times New Roman"/>
          <w:b/>
          <w:bCs/>
          <w:sz w:val="24"/>
          <w:szCs w:val="24"/>
        </w:rPr>
        <w:outlineLvl w:val="0"/>
      </w:pPr>
      <w:r>
        <w:rPr>
          <w:rFonts w:hint="eastAsia" w:ascii="宋体" w:hAnsi="宋体" w:eastAsia="宋体" w:cs="Times New Roman"/>
          <w:b/>
          <w:bCs/>
          <w:sz w:val="24"/>
          <w:szCs w:val="24"/>
        </w:rPr>
      </w:r>
      <w:r/>
    </w:p>
    <w:p>
      <w:pPr>
        <w:spacing w:line="400" w:lineRule="exact"/>
        <w:rPr>
          <w:rFonts w:hint="eastAsia"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hint="eastAsia"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lang w:eastAsia="zh-CN"/>
        </w:rPr>
        <w:t xml:space="preserve">江阴市人民医院监护仪（江阴市紧急医学救援中心用）采购项目</w:t>
      </w:r>
      <w:r>
        <w:rPr>
          <w:rFonts w:hint="eastAsia" w:ascii="宋体" w:hAnsi="宋体" w:eastAsia="宋体" w:cs="Times New Roman"/>
          <w:bCs/>
          <w:sz w:val="24"/>
          <w:szCs w:val="24"/>
        </w:rPr>
        <w:t xml:space="preserve">JSZC-320281-JZCG-G2026-0041</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07</w:t>
      </w:r>
      <w:r>
        <w:rPr>
          <w:rFonts w:ascii="宋体" w:hAnsi="宋体" w:eastAsia="宋体" w:cs="Times New Roman"/>
          <w:sz w:val="24"/>
          <w:szCs w:val="24"/>
        </w:rPr>
        <w:t xml:space="preserve">-17</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hint="eastAsia" w:ascii="宋体" w:hAnsi="宋体" w:eastAsia="宋体" w:cs="Times New Roman"/>
          <w:b/>
          <w:sz w:val="24"/>
          <w:szCs w:val="24"/>
        </w:rPr>
      </w:pPr>
      <w:r/>
      <w:bookmarkStart w:id="7" w:name="_Toc166593358"/>
      <w:r/>
      <w:bookmarkStart w:id="8" w:name="_Toc166593156"/>
      <w:r/>
      <w:r/>
    </w:p>
    <w:p>
      <w:pPr>
        <w:spacing w:line="400" w:lineRule="exact"/>
        <w:rPr>
          <w:rFonts w:hint="eastAsia"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项目编号：</w:t>
      </w:r>
      <w:r>
        <w:rPr>
          <w:rFonts w:hint="eastAsia" w:ascii="宋体" w:hAnsi="宋体" w:eastAsia="宋体" w:cs="Times New Roman"/>
          <w:bCs/>
          <w:sz w:val="24"/>
          <w:szCs w:val="24"/>
        </w:rPr>
        <w:t xml:space="preserve">JSZC-320281-JZCG-G2026-0041</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江阴市人民医院监护仪（江阴市紧急医学救援中心用）采购项目</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151.7</w:t>
      </w:r>
      <w:r>
        <w:rPr>
          <w:rFonts w:ascii="Times New Roman" w:hAnsi="Times New Roman" w:eastAsia="宋体" w:cs="Times New Roman"/>
          <w:sz w:val="24"/>
          <w:szCs w:val="24"/>
        </w:rPr>
        <w:t xml:space="preserve">万元（采购包1: 148.8万元；采购包2: 2.9万元）</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最高限价：</w:t>
      </w:r>
      <w:r/>
    </w:p>
    <w:tbl>
      <w:tblPr>
        <w:tblStyle w:val="89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2724"/>
        <w:gridCol w:w="3787"/>
        <w:gridCol w:w="3117"/>
      </w:tblGrid>
      <w:tr>
        <w:trPr>
          <w:jc w:val="center"/>
          <w:tblHeader/>
        </w:trPr>
        <w:tc>
          <w:tcPr>
            <w:tcW w:w="2724"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采购包号</w:t>
            </w:r>
            <w:r/>
          </w:p>
        </w:tc>
        <w:tc>
          <w:tcPr>
            <w:tcW w:w="3787"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采购包名称</w:t>
            </w:r>
            <w:r/>
          </w:p>
        </w:tc>
        <w:tc>
          <w:tcPr>
            <w:tcW w:w="3117"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最高限价</w:t>
            </w:r>
            <w:r/>
          </w:p>
        </w:tc>
      </w:tr>
      <w:tr>
        <w:trPr>
          <w:jc w:val="center"/>
        </w:trPr>
        <w:tc>
          <w:tcPr>
            <w:tcW w:w="2724"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采购包1</w:t>
            </w:r>
            <w:r/>
          </w:p>
        </w:tc>
        <w:tc>
          <w:tcPr>
            <w:tcW w:w="3787"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lang w:bidi="ar"/>
              </w:rPr>
              <w:t xml:space="preserve">麻醉监护仪及心电监护仪</w:t>
            </w:r>
            <w:r/>
          </w:p>
        </w:tc>
        <w:tc>
          <w:tcPr>
            <w:tcW w:w="3117"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cs="Times New Roman"/>
                <w:sz w:val="24"/>
                <w:szCs w:val="24"/>
              </w:rPr>
              <w:t xml:space="preserve">83.16</w:t>
            </w:r>
            <w:r>
              <w:rPr>
                <w:rFonts w:ascii="Times New Roman" w:hAnsi="Times New Roman" w:eastAsia="宋体" w:cs="Times New Roman"/>
                <w:sz w:val="24"/>
                <w:szCs w:val="24"/>
              </w:rPr>
              <w:t xml:space="preserve">万元</w:t>
            </w:r>
            <w:r/>
          </w:p>
        </w:tc>
      </w:tr>
      <w:tr>
        <w:trPr>
          <w:jc w:val="center"/>
        </w:trPr>
        <w:tc>
          <w:tcPr>
            <w:tcW w:w="2724"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采购包2</w:t>
            </w:r>
            <w:r/>
          </w:p>
        </w:tc>
        <w:tc>
          <w:tcPr>
            <w:tcW w:w="3787"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cs="Times New Roman"/>
                <w:sz w:val="24"/>
                <w:szCs w:val="24"/>
                <w:shd w:val="clear" w:color="auto" w:fill="ffffff"/>
              </w:rPr>
              <w:t xml:space="preserve">麻醉深度监护仪</w:t>
            </w:r>
            <w:r/>
          </w:p>
        </w:tc>
        <w:tc>
          <w:tcPr>
            <w:tcW w:w="3117"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2.5万元</w:t>
            </w:r>
            <w:r/>
          </w:p>
        </w:tc>
      </w:tr>
    </w:tbl>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hint="eastAsia"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本项目为江阴市人民医院的监护仪（江阴市紧急医学救援中心用）采购项目</w:t>
      </w:r>
      <w:r>
        <w:rPr>
          <w:rFonts w:hint="eastAsia" w:ascii="宋体" w:hAnsi="宋体" w:eastAsia="宋体" w:cs="Times New Roman"/>
          <w:sz w:val="24"/>
          <w:szCs w:val="28"/>
        </w:rPr>
        <w:t xml:space="preserve">。</w:t>
      </w:r>
      <w:r>
        <w:rPr>
          <w:rFonts w:hint="eastAsia" w:ascii="宋体" w:hAnsi="宋体" w:eastAsia="宋体" w:cs="Times New Roman"/>
          <w:sz w:val="24"/>
          <w:szCs w:val="28"/>
          <w:lang w:val="en-US" w:eastAsia="zh-CN"/>
        </w:rPr>
        <w:t xml:space="preserve">本项目不允许进口产品参与投标。本项目为两个包，各确定一家中标单位，供应商可全报或选报。</w:t>
      </w:r>
      <w:r>
        <w:rPr>
          <w:rFonts w:hint="eastAsia" w:ascii="宋体" w:hAnsi="宋体" w:eastAsia="宋体" w:cs="Times New Roman"/>
          <w:bCs/>
          <w:sz w:val="24"/>
          <w:szCs w:val="24"/>
        </w:rPr>
        <w:t xml:space="preserve">（详见招标文件）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3.未被“信用中国”网站列入失信被执行人、重大税收违法失信主体、政府采购严重违法失信行为记录名单（无需提供证明材料）</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（三）本项目的特定资格要求：</w:t>
      </w:r>
      <w:r>
        <w:rPr>
          <w:rFonts w:ascii="Times New Roman" w:hAnsi="Times New Roman" w:eastAsia="宋体" w:cs="Times New Roman"/>
          <w:sz w:val="24"/>
          <w:szCs w:val="24"/>
        </w:rPr>
        <w:t xml:space="preserve">投标产品属于医疗器械注册范畴的，投标人须具有《医疗器械经营许可证》（或《医疗器械经营备案凭证》）且在经营范围内。</w:t>
      </w:r>
      <w:r>
        <w:rPr>
          <w:rFonts w:ascii="Times New Roman" w:hAnsi="Times New Roman" w:eastAsia="宋体" w:cs="Times New Roman"/>
          <w:bCs/>
          <w:sz w:val="24"/>
          <w:szCs w:val="24"/>
        </w:rPr>
        <w:t xml:space="preserve">（扫描件）</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ascii="宋体" w:hAnsi="宋体" w:eastAsia="宋体" w:cs="Times New Roman"/>
          <w:sz w:val="24"/>
          <w:szCs w:val="24"/>
        </w:rPr>
        <w:t xml:space="preserve">07-17</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1.采购人信息 </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单位名称：江阴市人民医院</w:t>
      </w:r>
      <w:r/>
    </w:p>
    <w:p>
      <w:pPr>
        <w:ind w:firstLine="480"/>
        <w:jc w:val="left"/>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单位地址：江阴市迎瑞路3号</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项目联系人：仲先生</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联系电话：</w:t>
      </w:r>
      <w:r>
        <w:rPr>
          <w:rFonts w:ascii="Times New Roman" w:hAnsi="Times New Roman" w:eastAsia="仿宋" w:cs="Times New Roman"/>
          <w:sz w:val="25"/>
          <w:szCs w:val="25"/>
          <w:shd w:val="clear" w:color="auto" w:fill="ffffff"/>
        </w:rPr>
        <w:t xml:space="preserve">0510-88017546</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2.采购代理机构信息</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单位名称：江阴市政府采购中心</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单位地址：江阴市长江路188号6楼</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联系人：周先生</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联系电话：0510-88027620</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3.项目联系方式 </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项目联系人：周先生</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电话：0510-88027620</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r>
      <w:r/>
    </w:p>
    <w:p>
      <w:pPr>
        <w:pStyle w:val="888"/>
      </w:pPr>
      <w:r/>
      <w:r/>
    </w:p>
    <w:p>
      <w:pPr>
        <w:pStyle w:val="888"/>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val="0"/>
          <w:bCs/>
          <w:sz w:val="24"/>
          <w:szCs w:val="24"/>
          <w:highlight w:val="none"/>
          <w:lang w:val="en-US" w:eastAsia="zh-CN"/>
        </w:rPr>
        <w:t xml:space="preserve">5</w:t>
      </w: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投标产品属于医疗器械注册范畴的，须提供《医疗器械注册证》；（扫描件）</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hint="eastAsia"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964"/>
        <w:spacing w:line="400" w:lineRule="exact"/>
        <w:rPr>
          <w:rFonts w:hint="eastAsia" w:ascii="宋体" w:hAnsi="宋体" w:eastAsia="宋体" w:cs="Times New Roman"/>
          <w:b/>
          <w:bCs/>
          <w:sz w:val="24"/>
          <w:szCs w:val="24"/>
        </w:rPr>
      </w:pPr>
      <w:r>
        <w:rPr>
          <w:rFonts w:ascii="Times New Roman" w:hAnsi="Times New Roman" w:eastAsia="宋体" w:cs="Times New Roman"/>
          <w:b/>
          <w:bCs/>
          <w:sz w:val="24"/>
          <w:szCs w:val="28"/>
        </w:rPr>
        <w:t xml:space="preserve">文件3：</w:t>
      </w:r>
      <w:r>
        <w:rPr>
          <w:rFonts w:ascii="Times New Roman" w:hAnsi="Times New Roman" w:eastAsia="宋体" w:cs="Times New Roman"/>
          <w:sz w:val="24"/>
          <w:szCs w:val="24"/>
        </w:rPr>
        <w:t xml:space="preserve">投标产品属于医疗器械注册范畴的，投标人须具有《医疗器械经营许可证》（或《医疗器械经营备案凭证》）且在经营范围内。</w:t>
      </w:r>
      <w:r>
        <w:rPr>
          <w:rFonts w:ascii="Times New Roman" w:hAnsi="Times New Roman" w:eastAsia="宋体" w:cs="Times New Roman"/>
          <w:bCs/>
          <w:sz w:val="24"/>
          <w:szCs w:val="24"/>
        </w:rPr>
        <w:t xml:space="preserve">（扫描件）</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lang w:val="en-US" w:eastAsia="zh-CN"/>
        </w:rPr>
        <w:t xml:space="preserve">7</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hint="eastAsia"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hint="eastAsia"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hint="eastAsia"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lang w:val="en-US" w:eastAsia="zh-CN"/>
        </w:rPr>
        <w:t xml:space="preserve">⑤</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⑥</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⑦</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⑧</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（1）依据法律法规和招标文件的规定，资格审查小组对投标文件组成中的资格证明文件（文件1-文件3）等进行审查，以确定投标单位是否具备投标资格。</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hint="eastAsia"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采购人收件人：</w:t>
      </w:r>
      <w:bookmarkStart w:id="10" w:name="_Hlk231803633"/>
      <w:r>
        <w:rPr>
          <w:rFonts w:hint="eastAsia" w:ascii="Times New Roman" w:hAnsi="Times New Roman" w:eastAsia="宋体" w:cs="Times New Roman"/>
          <w:sz w:val="24"/>
          <w:szCs w:val="24"/>
          <w:u w:val="single"/>
        </w:rPr>
        <w:t xml:space="preserve">仲先生</w:t>
      </w:r>
      <w:bookmarkEnd w:id="10"/>
      <w:r>
        <w:rPr>
          <w:rFonts w:ascii="Times New Roman" w:hAnsi="Times New Roman" w:eastAsia="宋体" w:cs="Times New Roman"/>
          <w:sz w:val="24"/>
          <w:szCs w:val="24"/>
          <w:u w:val="single"/>
        </w:rPr>
        <w:t xml:space="preserve">   收件地址：江阴市人民医院敔山湾院区1号楼一层医学工程部办公室   收件电话：0510-88017546</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hint="eastAsia"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zh-CN"/>
        </w:rPr>
        <w:t xml:space="preserve">1、根据《财政部、工业和信息化部关于印发《政府采购促进中小企业发展管理办法》的通知》（财库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6、中标供应商享受中小企业扶持政策的，江阴市政府采购中心将随中标结果公开中标供应商的《中小企业声明函》。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7、供应商提供声明函内容不实的，属于提供虚假材料谋取中标，依照《中华人民共和国政府采购法》等国家有关规定追究相应责任。</w:t>
      </w:r>
      <w:r/>
    </w:p>
    <w:p>
      <w:pPr>
        <w:ind w:firstLine="482"/>
        <w:jc w:val="left"/>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8、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（3）提供本国产品进行</w:t>
      </w:r>
      <w:r>
        <w:rPr>
          <w:rFonts w:hint="eastAsia" w:ascii="宋体" w:hAnsi="宋体" w:eastAsia="宋体" w:cs="Times New Roman"/>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hint="eastAsia"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hint="eastAsia"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888"/>
        <w:sectPr>
          <w:footnotePr/>
          <w:endnotePr/>
          <w:type w:val="nextPage"/>
          <w:pgSz w:w="11906" w:h="16838" w:orient="portrait"/>
          <w:pgMar w:top="1247" w:right="1247" w:bottom="1247" w:left="1247" w:header="680" w:footer="992" w:gutter="0"/>
          <w:cols w:num="1" w:sep="0" w:space="720" w:equalWidth="1"/>
          <w:docGrid w:linePitch="360"/>
        </w:sectPr>
      </w:pPr>
      <w:r/>
      <w:r/>
    </w:p>
    <w:p>
      <w:pPr>
        <w:pStyle w:val="888"/>
      </w:pPr>
      <w:r/>
      <w:r/>
    </w:p>
    <w:p>
      <w:pPr>
        <w:pStyle w:val="888"/>
        <w:numPr>
          <w:ilvl w:val="0"/>
          <w:numId w:val="1"/>
        </w:numPr>
      </w:pPr>
      <w:r/>
      <w:bookmarkStart w:id="11" w:name="_Toc213847315"/>
      <w:r>
        <w:rPr>
          <w:rFonts w:hint="eastAsia"/>
        </w:rPr>
        <w:t xml:space="preserve">项目要求和有关说明</w:t>
      </w:r>
      <w:bookmarkEnd w:id="11"/>
      <w:r/>
      <w:bookmarkStart w:id="12" w:name="_Toc251268361"/>
      <w:r/>
      <w:r/>
    </w:p>
    <w:p>
      <w:pPr>
        <w:ind w:firstLine="482"/>
        <w:jc w:val="center"/>
        <w:spacing w:line="400" w:lineRule="exact"/>
        <w:widowControl/>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（以下除“三、详细的技术参数要求”中的非打“</w:t>
      </w:r>
      <w:r>
        <w:rPr>
          <w:rFonts w:hint="eastAsia" w:ascii="Segoe UI Symbol" w:hAnsi="Segoe UI Symbol" w:eastAsia="宋体" w:cs="Segoe UI Symbol"/>
          <w:b/>
          <w:bCs/>
          <w:sz w:val="24"/>
          <w:szCs w:val="24"/>
        </w:rPr>
        <w:t xml:space="preserve">★</w:t>
      </w:r>
      <w:r>
        <w:rPr>
          <w:rFonts w:ascii="Times New Roman" w:hAnsi="Times New Roman" w:eastAsia="宋体" w:cs="Times New Roman"/>
          <w:b/>
          <w:bCs/>
          <w:sz w:val="24"/>
          <w:szCs w:val="24"/>
        </w:rPr>
        <w:t xml:space="preserve">”项，其余均为实质性要求）</w:t>
      </w:r>
      <w:r/>
    </w:p>
    <w:p>
      <w:pPr>
        <w:ind w:firstLine="482"/>
        <w:jc w:val="center"/>
        <w:spacing w:line="400" w:lineRule="exact"/>
        <w:widowControl/>
        <w:rPr>
          <w:rFonts w:ascii="Times New Roman" w:hAnsi="Times New Roman" w:eastAsia="宋体" w:cs="Times New Roman"/>
          <w:b/>
          <w:sz w:val="24"/>
        </w:rPr>
      </w:pPr>
      <w:r>
        <w:rPr>
          <w:rFonts w:ascii="Times New Roman" w:hAnsi="Times New Roman" w:eastAsia="宋体" w:cs="Times New Roman"/>
          <w:b/>
          <w:sz w:val="24"/>
        </w:rPr>
      </w:r>
      <w:r/>
    </w:p>
    <w:p>
      <w:pPr>
        <w:ind w:firstLine="482"/>
        <w:jc w:val="center"/>
        <w:spacing w:line="400" w:lineRule="exact"/>
        <w:widowControl/>
        <w:rPr>
          <w:rFonts w:ascii="Times New Roman" w:hAnsi="Times New Roman" w:eastAsia="宋体" w:cs="Times New Roman"/>
          <w:b/>
          <w:sz w:val="24"/>
        </w:rPr>
      </w:pPr>
      <w:r>
        <w:rPr>
          <w:rFonts w:ascii="Times New Roman" w:hAnsi="Times New Roman" w:eastAsia="宋体" w:cs="Times New Roman"/>
          <w:b/>
          <w:sz w:val="24"/>
        </w:rPr>
      </w:r>
      <w:r/>
    </w:p>
    <w:p>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 xml:space="preserve">一、项目概述：</w:t>
      </w:r>
      <w:r/>
    </w:p>
    <w:p>
      <w:pPr>
        <w:ind w:firstLine="480"/>
        <w:spacing w:line="40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本项目为</w:t>
      </w:r>
      <w:r>
        <w:rPr>
          <w:rFonts w:hint="eastAsia" w:ascii="Times New Roman" w:hAnsi="Times New Roman" w:eastAsia="宋体" w:cs="Times New Roman"/>
          <w:bCs/>
          <w:sz w:val="24"/>
          <w:szCs w:val="24"/>
          <w:lang w:eastAsia="zh-CN"/>
        </w:rPr>
        <w:t xml:space="preserve">江阴市人民医院监护仪（江阴市紧急医学救援中心用）采购项目</w:t>
      </w:r>
      <w:r>
        <w:rPr>
          <w:rFonts w:ascii="Times New Roman" w:hAnsi="Times New Roman" w:eastAsia="宋体" w:cs="Times New Roman"/>
          <w:bCs/>
          <w:sz w:val="24"/>
          <w:szCs w:val="24"/>
        </w:rPr>
        <w:t xml:space="preserve">。本项目为两个包。</w:t>
      </w:r>
      <w:r/>
    </w:p>
    <w:p>
      <w:pPr>
        <w:ind w:firstLine="480"/>
        <w:spacing w:line="400" w:lineRule="exact"/>
        <w:rPr>
          <w:rFonts w:ascii="Times New Roman" w:hAnsi="Times New Roman" w:cs="Times New Roman"/>
          <w:color w:val="000000"/>
          <w:sz w:val="24"/>
        </w:rPr>
      </w:pPr>
      <w:r>
        <w:rPr>
          <w:rFonts w:ascii="Times New Roman" w:hAnsi="Times New Roman" w:eastAsia="宋体" w:cs="Times New Roman"/>
          <w:bCs/>
          <w:sz w:val="24"/>
          <w:szCs w:val="24"/>
        </w:rPr>
        <w:t xml:space="preserve">采购包1</w:t>
      </w:r>
      <w:r>
        <w:rPr>
          <w:rFonts w:ascii="Times New Roman" w:hAnsi="Times New Roman" w:cs="Times New Roman"/>
          <w:color w:val="000000"/>
          <w:sz w:val="24"/>
        </w:rPr>
        <w:t xml:space="preserve">为江阴市人民医院</w:t>
      </w:r>
      <w:r>
        <w:rPr>
          <w:rFonts w:ascii="Times New Roman" w:hAnsi="Times New Roman" w:eastAsia="宋体" w:cs="Times New Roman"/>
          <w:sz w:val="24"/>
          <w:szCs w:val="24"/>
          <w:lang w:bidi="ar"/>
        </w:rPr>
        <w:t xml:space="preserve">麻醉监护仪及心电监护仪</w:t>
      </w:r>
      <w:r>
        <w:rPr>
          <w:rFonts w:ascii="Times New Roman" w:hAnsi="Times New Roman" w:cs="Times New Roman"/>
          <w:color w:val="000000"/>
          <w:sz w:val="24"/>
        </w:rPr>
        <w:t xml:space="preserve">采购。</w:t>
      </w:r>
      <w:r>
        <w:rPr>
          <w:rFonts w:ascii="Times New Roman" w:hAnsi="Times New Roman" w:eastAsia="宋体" w:cs="Times New Roman"/>
          <w:sz w:val="24"/>
          <w:szCs w:val="24"/>
          <w:lang w:bidi="ar"/>
        </w:rPr>
        <w:t xml:space="preserve">麻醉监护仪</w:t>
      </w:r>
      <w:r>
        <w:rPr>
          <w:rFonts w:ascii="Times New Roman" w:hAnsi="Times New Roman" w:cs="Times New Roman"/>
          <w:color w:val="000000"/>
          <w:sz w:val="24"/>
        </w:rPr>
        <w:t xml:space="preserve">为江阴市紧急医学救援中心建设</w:t>
      </w:r>
      <w:r>
        <w:rPr>
          <w:rFonts w:hint="eastAsia" w:ascii="Times New Roman" w:hAnsi="Times New Roman" w:cs="Times New Roman"/>
          <w:color w:val="000000"/>
          <w:sz w:val="24"/>
          <w:lang w:val="en-US" w:eastAsia="zh-CN"/>
        </w:rPr>
        <w:t xml:space="preserve">用</w:t>
      </w:r>
      <w:r>
        <w:rPr>
          <w:rFonts w:ascii="Times New Roman" w:hAnsi="Times New Roman" w:cs="Times New Roman"/>
          <w:color w:val="000000"/>
          <w:sz w:val="24"/>
        </w:rPr>
        <w:t xml:space="preserve">，麻醉科新开手术间配套设备采购，拟购置麻醉监护仪8台，适用于成人、小儿和新生儿，用于新开手术间术中患者生命体征全程监护，保障围手术期麻醉安全，完善手术间配套设施。</w:t>
      </w:r>
      <w:r>
        <w:rPr>
          <w:rFonts w:ascii="Times New Roman" w:hAnsi="Times New Roman" w:eastAsia="宋体" w:cs="Times New Roman"/>
          <w:sz w:val="24"/>
          <w:szCs w:val="24"/>
          <w:lang w:bidi="ar"/>
        </w:rPr>
        <w:t xml:space="preserve">心电监护仪</w:t>
      </w:r>
      <w:r>
        <w:rPr>
          <w:rFonts w:ascii="Times New Roman" w:hAnsi="Times New Roman" w:cs="Times New Roman"/>
          <w:color w:val="000000"/>
          <w:sz w:val="24"/>
        </w:rPr>
        <w:t xml:space="preserve">为多科室</w:t>
      </w:r>
      <w:r>
        <w:rPr>
          <w:rFonts w:hint="eastAsia" w:ascii="Times New Roman" w:hAnsi="Times New Roman" w:cs="Times New Roman"/>
          <w:color w:val="000000"/>
          <w:sz w:val="24"/>
        </w:rPr>
        <w:t xml:space="preserve">用于</w:t>
      </w:r>
      <w:r>
        <w:rPr>
          <w:rFonts w:ascii="Times New Roman" w:hAnsi="Times New Roman" w:cs="Times New Roman"/>
          <w:color w:val="000000"/>
          <w:sz w:val="24"/>
        </w:rPr>
        <w:t xml:space="preserve">日常监测病人包括心电、呼吸、无创血压、血氧饱和度和脉搏等生理参数，拟购置心电监护仪18台，适用于成人、小儿和新生儿。</w:t>
      </w:r>
      <w:r/>
    </w:p>
    <w:p>
      <w:pPr>
        <w:ind w:firstLine="480"/>
        <w:spacing w:line="400" w:lineRule="exact"/>
        <w:rPr>
          <w:rFonts w:ascii="Times New Roman" w:hAnsi="Times New Roman" w:eastAsia="宋体" w:cs="Times New Roman"/>
          <w:bCs/>
          <w:sz w:val="24"/>
          <w:szCs w:val="24"/>
        </w:rPr>
      </w:pPr>
      <w:r>
        <w:rPr>
          <w:rFonts w:ascii="Times New Roman" w:hAnsi="Times New Roman" w:cs="Times New Roman"/>
          <w:color w:val="000000"/>
          <w:sz w:val="24"/>
        </w:rPr>
        <w:t xml:space="preserve">采购包2为麻醉科用监测麻醉深度或睡眠深度，采购麻醉深度监护仪1台。采集、分析受试者的脑电信号，并进行麻醉意识深度的自动评分，以研究评估受试者的脑电意识状态。</w:t>
      </w:r>
      <w:r/>
    </w:p>
    <w:tbl>
      <w:tblPr>
        <w:tblStyle w:val="89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2724"/>
        <w:gridCol w:w="3787"/>
        <w:gridCol w:w="3117"/>
      </w:tblGrid>
      <w:tr>
        <w:trPr>
          <w:jc w:val="center"/>
          <w:tblHeader/>
        </w:trPr>
        <w:tc>
          <w:tcPr>
            <w:tcW w:w="2724"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采购包号</w:t>
            </w:r>
            <w:r/>
          </w:p>
        </w:tc>
        <w:tc>
          <w:tcPr>
            <w:tcW w:w="3787"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采购包名称</w:t>
            </w:r>
            <w:r/>
          </w:p>
        </w:tc>
        <w:tc>
          <w:tcPr>
            <w:tcW w:w="3117"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最高限价</w:t>
            </w:r>
            <w:r/>
          </w:p>
        </w:tc>
      </w:tr>
      <w:tr>
        <w:trPr>
          <w:jc w:val="center"/>
        </w:trPr>
        <w:tc>
          <w:tcPr>
            <w:tcW w:w="2724"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采购包1</w:t>
            </w:r>
            <w:r/>
          </w:p>
        </w:tc>
        <w:tc>
          <w:tcPr>
            <w:tcW w:w="3787"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lang w:bidi="ar"/>
              </w:rPr>
              <w:t xml:space="preserve">麻醉监护仪及心电监护仪</w:t>
            </w:r>
            <w:r/>
          </w:p>
        </w:tc>
        <w:tc>
          <w:tcPr>
            <w:tcW w:w="3117"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cs="Times New Roman"/>
                <w:sz w:val="24"/>
                <w:szCs w:val="24"/>
              </w:rPr>
              <w:t xml:space="preserve">83.16</w:t>
            </w:r>
            <w:r>
              <w:rPr>
                <w:rFonts w:ascii="Times New Roman" w:hAnsi="Times New Roman" w:eastAsia="宋体" w:cs="Times New Roman"/>
                <w:sz w:val="24"/>
                <w:szCs w:val="24"/>
              </w:rPr>
              <w:t xml:space="preserve">万元</w:t>
            </w:r>
            <w:r/>
          </w:p>
        </w:tc>
      </w:tr>
      <w:tr>
        <w:trPr>
          <w:jc w:val="center"/>
        </w:trPr>
        <w:tc>
          <w:tcPr>
            <w:tcW w:w="2724"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采购包2</w:t>
            </w:r>
            <w:r/>
          </w:p>
        </w:tc>
        <w:tc>
          <w:tcPr>
            <w:tcW w:w="3787"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cs="Times New Roman"/>
                <w:sz w:val="24"/>
                <w:szCs w:val="24"/>
                <w:shd w:val="clear" w:color="auto" w:fill="ffffff"/>
              </w:rPr>
              <w:t xml:space="preserve">麻醉深度监护仪</w:t>
            </w:r>
            <w:r/>
          </w:p>
        </w:tc>
        <w:tc>
          <w:tcPr>
            <w:tcW w:w="3117"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2.5万元</w:t>
            </w:r>
            <w:r/>
          </w:p>
        </w:tc>
      </w:tr>
    </w:tbl>
    <w:p>
      <w:pPr>
        <w:ind w:firstLine="482"/>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本项目标的所属行业：工业。</w:t>
      </w:r>
      <w:r/>
    </w:p>
    <w:p>
      <w:pPr>
        <w:ind w:firstLine="482"/>
        <w:spacing w:line="400" w:lineRule="exact"/>
        <w:tabs>
          <w:tab w:val="left" w:pos="8475" w:leader="none"/>
        </w:tabs>
        <w:rPr>
          <w:rFonts w:ascii="Times New Roman" w:hAnsi="Times New Roman" w:eastAsia="宋体" w:cs="Times New Roman"/>
          <w:b/>
          <w:sz w:val="24"/>
          <w:szCs w:val="24"/>
        </w:rPr>
      </w:pPr>
      <w:r>
        <w:rPr>
          <w:rFonts w:ascii="Times New Roman" w:hAnsi="Times New Roman" w:cs="Times New Roman"/>
        </w:rPr>
        <w:tab/>
      </w:r>
      <w:r/>
    </w:p>
    <w:p>
      <w:pPr>
        <w:numPr>
          <w:ilvl w:val="0"/>
          <w:numId w:val="2"/>
        </w:numPr>
        <w:jc w:val="left"/>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 xml:space="preserve">项目采购清单：</w:t>
      </w:r>
      <w:r/>
    </w:p>
    <w:tbl>
      <w:tblPr>
        <w:tblStyle w:val="892"/>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1678"/>
        <w:gridCol w:w="2145"/>
        <w:gridCol w:w="1842"/>
        <w:gridCol w:w="4077"/>
      </w:tblGrid>
      <w:tr>
        <w:trPr>
          <w:jc w:val="center"/>
          <w:tblHeader/>
        </w:trPr>
        <w:tc>
          <w:tcPr>
            <w:tcW w:w="1678"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采购包号</w:t>
            </w:r>
            <w:r/>
          </w:p>
        </w:tc>
        <w:tc>
          <w:tcPr>
            <w:tcW w:w="2145"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采购包名称</w:t>
            </w:r>
            <w:r/>
          </w:p>
        </w:tc>
        <w:tc>
          <w:tcPr>
            <w:tcW w:w="1842"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数量</w:t>
            </w:r>
            <w:r/>
          </w:p>
        </w:tc>
        <w:tc>
          <w:tcPr>
            <w:tcW w:w="4077"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cs="Times New Roman"/>
                <w:b/>
                <w:bCs/>
                <w:sz w:val="24"/>
              </w:rPr>
              <w:t xml:space="preserve">备注</w:t>
            </w:r>
            <w:r/>
          </w:p>
        </w:tc>
      </w:tr>
      <w:tr>
        <w:trPr>
          <w:jc w:val="center"/>
        </w:trPr>
        <w:tc>
          <w:tcPr>
            <w:tcW w:w="1678"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采购包1</w:t>
            </w:r>
            <w:r/>
          </w:p>
        </w:tc>
        <w:tc>
          <w:tcPr>
            <w:tcW w:w="2145"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lang w:bidi="ar"/>
              </w:rPr>
              <w:t xml:space="preserve">麻醉监护仪及心电监护仪</w:t>
            </w:r>
            <w:r/>
          </w:p>
        </w:tc>
        <w:tc>
          <w:tcPr>
            <w:tcW w:w="1842"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26台</w:t>
            </w:r>
            <w:r/>
          </w:p>
        </w:tc>
        <w:tc>
          <w:tcPr>
            <w:tcW w:w="4077"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麻醉监护仪</w:t>
            </w:r>
            <w:r>
              <w:rPr>
                <w:rFonts w:ascii="Times New Roman" w:hAnsi="Times New Roman" w:eastAsia="宋体" w:cs="Times New Roman"/>
                <w:b/>
                <w:bCs/>
                <w:sz w:val="24"/>
                <w:szCs w:val="24"/>
              </w:rPr>
              <w:t xml:space="preserve">8</w:t>
            </w:r>
            <w:r>
              <w:rPr>
                <w:rFonts w:ascii="Times New Roman" w:hAnsi="Times New Roman" w:eastAsia="宋体" w:cs="Times New Roman"/>
                <w:sz w:val="24"/>
                <w:szCs w:val="24"/>
              </w:rPr>
              <w:t xml:space="preserve">台，单台配置至少包括主机×1、基本功能模块×1、麻醉气体监测模块×1和呼吸力学监测模块×1及相关必要附件。</w:t>
            </w:r>
            <w:r>
              <w:rPr>
                <w:rFonts w:hint="eastAsia" w:ascii="Times New Roman" w:hAnsi="Times New Roman" w:eastAsia="宋体" w:cs="Times New Roman"/>
                <w:sz w:val="24"/>
                <w:szCs w:val="24"/>
                <w:lang w:val="en-US" w:eastAsia="zh-CN"/>
              </w:rPr>
              <w:t xml:space="preserve">除</w:t>
            </w:r>
            <w:r>
              <w:rPr>
                <w:rFonts w:ascii="Times New Roman" w:hAnsi="Times New Roman" w:eastAsia="宋体" w:cs="Times New Roman"/>
                <w:sz w:val="24"/>
                <w:szCs w:val="24"/>
              </w:rPr>
              <w:t xml:space="preserve">麻醉监护仪</w:t>
            </w:r>
            <w:r>
              <w:rPr>
                <w:rFonts w:hint="eastAsia" w:ascii="Times New Roman" w:hAnsi="Times New Roman" w:eastAsia="宋体" w:cs="Times New Roman"/>
                <w:sz w:val="24"/>
                <w:szCs w:val="24"/>
                <w:lang w:val="en-US" w:eastAsia="zh-CN"/>
              </w:rPr>
              <w:t xml:space="preserve">外，需要</w:t>
            </w:r>
            <w:r>
              <w:rPr>
                <w:rFonts w:ascii="Times New Roman" w:hAnsi="Times New Roman" w:eastAsia="宋体" w:cs="Times New Roman"/>
                <w:b/>
                <w:bCs/>
                <w:sz w:val="24"/>
                <w:szCs w:val="24"/>
              </w:rPr>
              <w:t xml:space="preserve">额外配备基本功能模块×2。</w:t>
            </w:r>
            <w:r/>
          </w:p>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心电监护仪</w:t>
            </w:r>
            <w:r>
              <w:rPr>
                <w:rFonts w:ascii="Times New Roman" w:hAnsi="Times New Roman" w:eastAsia="宋体" w:cs="Times New Roman"/>
                <w:b/>
                <w:bCs/>
                <w:sz w:val="24"/>
                <w:szCs w:val="24"/>
              </w:rPr>
              <w:t xml:space="preserve">18</w:t>
            </w:r>
            <w:r>
              <w:rPr>
                <w:rFonts w:ascii="Times New Roman" w:hAnsi="Times New Roman" w:eastAsia="宋体" w:cs="Times New Roman"/>
                <w:sz w:val="24"/>
                <w:szCs w:val="24"/>
              </w:rPr>
              <w:t xml:space="preserve">台，单台配置至少包括监护主机×1和专用移动台车×1等及相关必要附件。</w:t>
            </w:r>
            <w:r/>
          </w:p>
        </w:tc>
      </w:tr>
      <w:tr>
        <w:trPr>
          <w:jc w:val="center"/>
        </w:trPr>
        <w:tc>
          <w:tcPr>
            <w:tcW w:w="1678"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采购包2</w:t>
            </w:r>
            <w:r/>
          </w:p>
        </w:tc>
        <w:tc>
          <w:tcPr>
            <w:tcW w:w="2145"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cs="Times New Roman"/>
                <w:sz w:val="24"/>
                <w:shd w:val="clear" w:color="auto" w:fill="ffffff"/>
              </w:rPr>
              <w:t xml:space="preserve">麻醉深度监护仪</w:t>
            </w:r>
            <w:r/>
          </w:p>
        </w:tc>
        <w:tc>
          <w:tcPr>
            <w:tcW w:w="1842"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1台</w:t>
            </w:r>
            <w:r/>
          </w:p>
        </w:tc>
        <w:tc>
          <w:tcPr>
            <w:tcW w:w="4077" w:type="dxa"/>
            <w:vAlign w:val="center"/>
            <w:textDirection w:val="lrTb"/>
            <w:noWrap w:val="false"/>
          </w:tcPr>
          <w:p>
            <w:pPr>
              <w:jc w:val="cente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jc w:val="left"/>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r>
      <w:r/>
    </w:p>
    <w:p>
      <w:pPr>
        <w:jc w:val="left"/>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 xml:space="preserve">三、详细的技术参数要求：</w:t>
      </w:r>
      <w:r/>
    </w:p>
    <w:p>
      <w:pPr>
        <w:ind w:firstLine="560"/>
        <w:jc w:val="left"/>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 xml:space="preserve">采购包1：麻醉监护仪及心电监护仪</w:t>
      </w:r>
      <w:r/>
    </w:p>
    <w:p>
      <w:pPr>
        <w:pStyle w:val="887"/>
        <w:numPr>
          <w:ilvl w:val="0"/>
          <w:numId w:val="3"/>
        </w:numPr>
        <w:jc w:val="both"/>
        <w:spacing w:before="0" w:beforeAutospacing="0" w:after="0" w:afterAutospacing="0" w:line="400" w:lineRule="exact"/>
        <w:widowControl w:val="off"/>
        <w:rPr>
          <w:rFonts w:ascii="Times New Roman" w:hAnsi="Times New Roman" w:eastAsia="黑体" w:cs="Times New Roman"/>
          <w:sz w:val="28"/>
          <w:szCs w:val="28"/>
        </w:rPr>
      </w:pPr>
      <w:r>
        <w:rPr>
          <w:rFonts w:ascii="Times New Roman" w:hAnsi="Times New Roman" w:eastAsia="黑体" w:cs="Times New Roman"/>
          <w:sz w:val="28"/>
          <w:szCs w:val="28"/>
        </w:rPr>
        <w:t xml:space="preserve">麻醉监护仪</w:t>
      </w:r>
      <w:r/>
    </w:p>
    <w:p>
      <w:pPr>
        <w:pStyle w:val="935"/>
        <w:numPr>
          <w:ilvl w:val="0"/>
          <w:numId w:val="4"/>
        </w:numPr>
        <w:ind w:firstLine="480"/>
        <w:spacing w:line="400" w:lineRule="exact"/>
        <w:rPr>
          <w:rFonts w:ascii="Times New Roman" w:hAnsi="Times New Roman" w:cs="Times New Roman"/>
          <w:sz w:val="24"/>
          <w:szCs w:val="24"/>
        </w:rPr>
      </w:pPr>
      <w:r>
        <w:rPr>
          <w:rFonts w:hint="eastAsia" w:ascii="Segoe UI Symbol" w:hAnsi="Segoe UI Symbol" w:cs="Segoe UI Symbol"/>
          <w:sz w:val="24"/>
          <w:szCs w:val="24"/>
        </w:rPr>
        <w:t xml:space="preserve">★</w:t>
      </w:r>
      <w:r>
        <w:rPr>
          <w:rFonts w:ascii="Times New Roman" w:hAnsi="Times New Roman" w:cs="Times New Roman"/>
          <w:sz w:val="24"/>
          <w:szCs w:val="24"/>
        </w:rPr>
        <w:t xml:space="preserve">模块化插件式床边监护仪，主机、显示屏和插件槽一体化设计，模块插槽数≥6个；</w:t>
      </w:r>
      <w:r>
        <w:rPr>
          <w:rFonts w:hint="eastAsia" w:ascii="Times New Roman" w:hAnsi="Times New Roman" w:cs="Times New Roman"/>
          <w:sz w:val="24"/>
          <w:szCs w:val="24"/>
        </w:rPr>
        <w:t xml:space="preserve">有效显示</w:t>
      </w:r>
      <w:r>
        <w:rPr>
          <w:rFonts w:ascii="Times New Roman" w:hAnsi="Times New Roman" w:cs="Times New Roman"/>
          <w:sz w:val="24"/>
          <w:szCs w:val="24"/>
        </w:rPr>
        <w:t xml:space="preserve">屏幕尺寸≥15英寸彩色电容触摸屏，分辨率≥1920×1080，≥10通道显示，显示屏亮度自动调节。</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支持≥178度可视范围。</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eastAsia="宋体" w:cs="Times New Roman"/>
          <w:sz w:val="24"/>
          <w:szCs w:val="24"/>
        </w:rPr>
        <w:t xml:space="preserve">▲</w:t>
      </w:r>
      <w:r>
        <w:rPr>
          <w:rFonts w:ascii="Times New Roman" w:hAnsi="Times New Roman" w:cs="Times New Roman"/>
          <w:sz w:val="24"/>
          <w:szCs w:val="24"/>
        </w:rPr>
        <w:t xml:space="preserve">插件槽位具备插件模块红外通讯接口以及金属硬件通讯接口。</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监护仪清洁消毒维护支持的消毒剂≥40种。</w:t>
      </w:r>
      <w:r/>
    </w:p>
    <w:p>
      <w:pPr>
        <w:pStyle w:val="935"/>
        <w:numPr>
          <w:ilvl w:val="0"/>
          <w:numId w:val="4"/>
        </w:numPr>
        <w:ind w:firstLine="480"/>
        <w:spacing w:line="400" w:lineRule="exact"/>
        <w:rPr>
          <w:rFonts w:ascii="Times New Roman" w:hAnsi="Times New Roman" w:cs="Times New Roman"/>
          <w:sz w:val="24"/>
          <w:szCs w:val="24"/>
        </w:rPr>
      </w:pPr>
      <w:r>
        <w:rPr>
          <w:rFonts w:hint="eastAsia" w:ascii="Segoe UI Symbol" w:hAnsi="Segoe UI Symbol" w:cs="Segoe UI Symbol"/>
          <w:sz w:val="24"/>
          <w:szCs w:val="24"/>
        </w:rPr>
        <w:t xml:space="preserve">★</w:t>
      </w:r>
      <w:r>
        <w:rPr>
          <w:rFonts w:ascii="Times New Roman" w:hAnsi="Times New Roman" w:cs="Times New Roman"/>
          <w:b/>
          <w:bCs/>
          <w:sz w:val="24"/>
          <w:szCs w:val="24"/>
          <w:u w:val="single"/>
        </w:rPr>
        <w:t xml:space="preserve">基本功能模块</w:t>
      </w:r>
      <w:r>
        <w:rPr>
          <w:rFonts w:ascii="Times New Roman" w:hAnsi="Times New Roman" w:cs="Times New Roman"/>
          <w:sz w:val="24"/>
          <w:szCs w:val="24"/>
        </w:rPr>
        <w:t xml:space="preserve">支持心电、呼吸、心率、无创血压、血氧饱和度、脉搏、双通道体温和双通道有创血压的同时监测；基本功能模块可独立拔出作为转运监护仪使用，内置锂电池供电，具有独立操作显示屏，</w:t>
      </w:r>
      <w:r>
        <w:rPr>
          <w:rFonts w:hint="eastAsia" w:ascii="Times New Roman" w:hAnsi="Times New Roman" w:cs="Times New Roman"/>
          <w:sz w:val="24"/>
          <w:szCs w:val="24"/>
        </w:rPr>
        <w:t xml:space="preserve">有效显示</w:t>
      </w:r>
      <w:r>
        <w:rPr>
          <w:rFonts w:ascii="Times New Roman" w:hAnsi="Times New Roman" w:cs="Times New Roman"/>
          <w:sz w:val="24"/>
          <w:szCs w:val="24"/>
        </w:rPr>
        <w:t xml:space="preserve">屏幕尺寸≥5.5英寸，无风扇设计。</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无创血压至少支持手动、自动间隔、连续、序列、整点五种测量模式。</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支持肺动脉楔压（PAWP）的监测和PPV参数监测。</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支持3/5导心电监测</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支持室上性心动过速和SVCs/min等室上性心律失常分析；支持≥25种实时心律失常分析。</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支持ST段分析；支持分组显示心脏前壁，下壁和侧壁的ST实时片段和参考片段；支持≥120小时（分辨率1分钟）ST模板存储与回顾。</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心电支持≥3个分析导联实时动态同步分析；支持心率，ST段测量，心律失常分析，QT/QTc连续实时测量和对应报警功能。</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有创压适用于成人、小儿和新生儿；有创压测量范围涵盖-50～360mmHg；支持≥6道IBP波形叠加显示，</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eastAsia="宋体" w:cs="Times New Roman"/>
          <w:sz w:val="24"/>
          <w:szCs w:val="24"/>
        </w:rPr>
        <w:t xml:space="preserve">▲</w:t>
      </w:r>
      <w:r>
        <w:rPr>
          <w:rFonts w:ascii="Times New Roman" w:hAnsi="Times New Roman" w:cs="Times New Roman"/>
          <w:sz w:val="24"/>
          <w:szCs w:val="24"/>
        </w:rPr>
        <w:t xml:space="preserve">热插拔</w:t>
      </w:r>
      <w:r>
        <w:rPr>
          <w:rFonts w:ascii="Times New Roman" w:hAnsi="Times New Roman" w:cs="Times New Roman"/>
          <w:b/>
          <w:bCs/>
          <w:sz w:val="24"/>
          <w:szCs w:val="24"/>
          <w:u w:val="single"/>
        </w:rPr>
        <w:t xml:space="preserve">麻醉气体监测模块</w:t>
      </w:r>
      <w:r>
        <w:rPr>
          <w:rFonts w:ascii="Times New Roman" w:hAnsi="Times New Roman" w:cs="Times New Roman"/>
          <w:sz w:val="24"/>
          <w:szCs w:val="24"/>
        </w:rPr>
        <w:t xml:space="preserve">，支持监测至少8种气体包括CO2、O2、N2O，Des（地氟醚）、Iso（异氟醚）、Enf（安氟醚）、Sev（七氟醚）和Hal（氟烷）；支持至少能显示CO2、七氟醚等吸入呼出的数值，MAC值等</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麻醉气体监测模块在设置时间内没有测量响应时，模块支持自动进入待命模式。</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RM</w:t>
      </w:r>
      <w:r>
        <w:rPr>
          <w:rFonts w:ascii="Times New Roman" w:hAnsi="Times New Roman" w:cs="Times New Roman"/>
          <w:b/>
          <w:bCs/>
          <w:sz w:val="24"/>
          <w:szCs w:val="24"/>
          <w:u w:val="single"/>
        </w:rPr>
        <w:t xml:space="preserve">呼吸力学模块</w:t>
      </w:r>
      <w:r>
        <w:rPr>
          <w:rFonts w:ascii="Times New Roman" w:hAnsi="Times New Roman" w:cs="Times New Roman"/>
          <w:sz w:val="24"/>
          <w:szCs w:val="24"/>
        </w:rPr>
        <w:t xml:space="preserve">，提供≥18项呼吸力学参数指标，可监测至少包括：PIF峰值吸气流量，PEF峰值呼气流量，WOB病人呼吸功，NIF负吸入压力，RSBI浅呼吸指数等。</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eastAsia="宋体" w:cs="Times New Roman"/>
          <w:sz w:val="24"/>
          <w:szCs w:val="24"/>
        </w:rPr>
        <w:t xml:space="preserve">▲</w:t>
      </w:r>
      <w:r>
        <w:rPr>
          <w:rFonts w:ascii="Times New Roman" w:hAnsi="Times New Roman" w:cs="Times New Roman"/>
          <w:sz w:val="24"/>
          <w:szCs w:val="24"/>
        </w:rPr>
        <w:t xml:space="preserve">具备参数组合报警功能，可对患者同时多个参数变化给出统一报警提示，预示病人不同生理系统状态改变；提供≥10个预设组合报警，提供自定义≥10个组合报警。</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支持根据病人的参数变化趋势，自动推送推荐报警限。</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具备血液动力学，药物计算，氧合计算，通气计算和肾功能计算功能。</w:t>
      </w:r>
      <w:r/>
    </w:p>
    <w:p>
      <w:pPr>
        <w:pStyle w:val="935"/>
        <w:numPr>
          <w:ilvl w:val="0"/>
          <w:numId w:val="4"/>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具备报警状态的可视化或图形化提示界面。</w:t>
      </w:r>
      <w:r/>
    </w:p>
    <w:p>
      <w:pPr>
        <w:pStyle w:val="887"/>
        <w:numPr>
          <w:ilvl w:val="0"/>
          <w:numId w:val="3"/>
        </w:numPr>
        <w:jc w:val="both"/>
        <w:spacing w:before="0" w:beforeAutospacing="0" w:after="0" w:afterAutospacing="0" w:line="400" w:lineRule="exact"/>
        <w:widowControl w:val="off"/>
        <w:rPr>
          <w:rFonts w:ascii="Times New Roman" w:hAnsi="Times New Roman" w:eastAsia="黑体" w:cs="Times New Roman"/>
          <w:sz w:val="28"/>
          <w:szCs w:val="28"/>
        </w:rPr>
      </w:pPr>
      <w:r>
        <w:rPr>
          <w:rFonts w:ascii="Times New Roman" w:hAnsi="Times New Roman" w:eastAsia="黑体" w:cs="Times New Roman"/>
          <w:sz w:val="28"/>
          <w:szCs w:val="28"/>
        </w:rPr>
        <w:t xml:space="preserve">心电监护仪</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使用年限≥10年</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一体式监护仪，无风扇设计。</w:t>
      </w:r>
      <w:r/>
    </w:p>
    <w:p>
      <w:pPr>
        <w:pStyle w:val="935"/>
        <w:numPr>
          <w:ilvl w:val="0"/>
          <w:numId w:val="5"/>
        </w:numPr>
        <w:ind w:firstLine="480"/>
        <w:spacing w:line="400" w:lineRule="exact"/>
        <w:rPr>
          <w:rFonts w:ascii="Times New Roman" w:hAnsi="Times New Roman" w:cs="Times New Roman"/>
          <w:sz w:val="24"/>
          <w:szCs w:val="24"/>
        </w:rPr>
      </w:pPr>
      <w:r>
        <w:rPr>
          <w:rFonts w:hint="eastAsia" w:ascii="Segoe UI Symbol" w:hAnsi="Segoe UI Symbol" w:cs="Segoe UI Symbol"/>
          <w:sz w:val="24"/>
          <w:szCs w:val="24"/>
        </w:rPr>
        <w:t xml:space="preserve">★</w:t>
      </w:r>
      <w:r>
        <w:rPr>
          <w:rFonts w:hint="eastAsia" w:ascii="Times New Roman" w:hAnsi="Times New Roman" w:cs="Times New Roman"/>
          <w:sz w:val="24"/>
          <w:szCs w:val="24"/>
        </w:rPr>
        <w:t xml:space="preserve">有效显示</w:t>
      </w:r>
      <w:r>
        <w:rPr>
          <w:rFonts w:ascii="Times New Roman" w:hAnsi="Times New Roman" w:cs="Times New Roman"/>
          <w:sz w:val="24"/>
          <w:szCs w:val="24"/>
        </w:rPr>
        <w:t xml:space="preserve">屏幕尺寸≥10寸彩色液晶电容触摸屏，分辨率≥1024*600，≥8通道波形显示。</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标配锂电池工作时间≥4.5小时。安全规格：ECG、SpO2和NIBP监测参数抗电击程度不低于防除颤CF型。</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扁平式菜单设计，具有自主培训功能。</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具有360度报警灯，≥三级声光报警，参数报警级别可调，具备图形化技术报警指示功能。</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具备隐藏把手，机身紧凑；具备附件收纳仓。</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清洁消毒维护支持的消毒剂≥7种。</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支持ECG多导同步分析</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具备智能导联脱落监测功能</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具备QRS阈值调节功能</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心率监测范围至少涵盖：成人10～300bpm，小儿/新生儿：10～350bpm。</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来自SpO2的PR测量范围至少涵盖：20-300。</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w:t>
      </w:r>
      <w:r>
        <w:rPr>
          <w:rFonts w:hint="eastAsia" w:asciiTheme="minorEastAsia" w:hAnsiTheme="minorEastAsia"/>
          <w:color w:val="000000" w:themeColor="text1"/>
          <w:sz w:val="24"/>
          <w14:textFill>
            <w14:solidFill>
              <w14:schemeClr w14:val="tx1"/>
            </w14:solidFill>
          </w14:textFill>
        </w:rPr>
        <w:t xml:space="preserve">血氧监护</w:t>
      </w:r>
      <w:r>
        <w:rPr>
          <w:rFonts w:ascii="Times New Roman" w:hAnsi="Times New Roman" w:cs="Times New Roman"/>
          <w:sz w:val="24"/>
          <w:szCs w:val="24"/>
        </w:rPr>
        <w:t xml:space="preserve">具备抗干扰和弱灌注血氧功能。</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无创血压至少支持手动，自动，连续、序列和整点5种测量模式。成人收缩压测量范围至少涵盖：25~290mmHg</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具备动态血压分析功能，至少包括平均血压、白天平均血压、夜间平均血压、最高血压、最低血压和正常血压比例等。</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呼吸测量范围至少涵盖：1-200 rpm。</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▲支持USB外部存储，支持≥2400小时趋势数据的存储与回顾功能，支持≥5000组无创血压测量记录，≥120小时全息波形的存储与回顾功能。</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▲动态趋势界面可支持统计1-24小时心律失常报警、参数超限报警信息，并对超限报警区间的波形进行高亮显示。</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▲支持带ABD事件的呼吸氧合界面。</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具备格拉斯哥昏迷评分（GCS）功能。</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支持RJ45接口进行有线网络通信至中心监护系统。</w:t>
      </w:r>
      <w:r/>
    </w:p>
    <w:p>
      <w:pPr>
        <w:pStyle w:val="935"/>
        <w:numPr>
          <w:ilvl w:val="0"/>
          <w:numId w:val="5"/>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支持监护仪的系统日志向U盘设备的导出功能，日志至少包括：系统状态、异常和技术报警等。</w:t>
      </w:r>
      <w:r/>
    </w:p>
    <w:p>
      <w:pPr>
        <w:spacing w:line="400" w:lineRule="exact"/>
        <w:rPr>
          <w:rFonts w:ascii="Times New Roman" w:hAnsi="Times New Roman" w:cs="Times New Roman"/>
          <w:sz w:val="24"/>
          <w:szCs w:val="24"/>
        </w:rPr>
      </w:pPr>
      <w:r>
        <w:rPr>
          <w:rFonts w:ascii="Times New Roman" w:hAnsi="Times New Roman" w:cs="Times New Roman"/>
          <w:sz w:val="24"/>
          <w:szCs w:val="24"/>
        </w:rPr>
      </w:r>
      <w:r/>
    </w:p>
    <w:p>
      <w:pPr>
        <w:ind w:firstLine="560"/>
        <w:jc w:val="left"/>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 xml:space="preserve">采购包2：麻醉深度监护仪</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eastAsia="宋体" w:cs="Times New Roman"/>
          <w:sz w:val="24"/>
          <w:szCs w:val="24"/>
        </w:rPr>
        <w:t xml:space="preserve">▲</w:t>
      </w:r>
      <w:r>
        <w:rPr>
          <w:rFonts w:ascii="Times New Roman" w:hAnsi="Times New Roman" w:cs="Times New Roman"/>
          <w:sz w:val="24"/>
          <w:szCs w:val="24"/>
        </w:rPr>
        <w:t xml:space="preserve">一体化结构（显示屏与主机集成于同一机体）；</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6"/>
        </w:numPr>
        <w:ind w:firstLine="480"/>
        <w:spacing w:line="400" w:lineRule="exact"/>
        <w:rPr>
          <w:rFonts w:ascii="Times New Roman" w:hAnsi="Times New Roman" w:cs="Times New Roman"/>
          <w:sz w:val="24"/>
          <w:szCs w:val="24"/>
        </w:rPr>
      </w:pPr>
      <w:r>
        <w:rPr>
          <w:rFonts w:hint="eastAsia" w:ascii="Segoe UI Symbol" w:hAnsi="Segoe UI Symbol" w:cs="Segoe UI Symbol"/>
          <w:sz w:val="24"/>
          <w:szCs w:val="24"/>
        </w:rPr>
        <w:t xml:space="preserve">★</w:t>
      </w:r>
      <w:r>
        <w:rPr>
          <w:rFonts w:ascii="Times New Roman" w:hAnsi="Times New Roman" w:cs="Times New Roman"/>
          <w:sz w:val="24"/>
          <w:szCs w:val="24"/>
        </w:rPr>
        <w:t xml:space="preserve">可监测麻醉深度参数（如BIS、Ai和CSI等）：实时监测范围涵盖0~99%，显示实时患者镇静、催眠程度；</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可监测信号质量指数（SQI）：实时监测范围涵盖0~100%；</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可监测肌电指数（EMG）：实时监测范围涵盖0-100%（70~110Hz肌电强度）；</w:t>
      </w:r>
      <w:r/>
    </w:p>
    <w:p>
      <w:pPr>
        <w:pStyle w:val="935"/>
        <w:numPr>
          <w:ilvl w:val="0"/>
          <w:numId w:val="6"/>
        </w:numPr>
        <w:ind w:firstLine="480"/>
        <w:spacing w:line="400" w:lineRule="exact"/>
        <w:rPr>
          <w:rFonts w:ascii="Times New Roman" w:hAnsi="Times New Roman" w:cs="Times New Roman"/>
          <w:sz w:val="24"/>
          <w:szCs w:val="24"/>
        </w:rPr>
      </w:pPr>
      <w:r>
        <w:rPr>
          <w:rFonts w:hint="eastAsia" w:ascii="Segoe UI Symbol" w:hAnsi="Segoe UI Symbol" w:cs="Segoe UI Symbol"/>
          <w:sz w:val="24"/>
          <w:szCs w:val="24"/>
        </w:rPr>
        <w:t xml:space="preserve">★</w:t>
      </w:r>
      <w:r>
        <w:rPr>
          <w:rFonts w:ascii="Times New Roman" w:hAnsi="Times New Roman" w:cs="Times New Roman"/>
          <w:sz w:val="24"/>
          <w:szCs w:val="24"/>
        </w:rPr>
        <w:t xml:space="preserve">可监测爆发抑制比（BSR）：实时监测范围涵盖0～100％；</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eastAsia="宋体" w:cs="Times New Roman"/>
          <w:sz w:val="24"/>
          <w:szCs w:val="24"/>
        </w:rPr>
        <w:t xml:space="preserve">▲</w:t>
      </w:r>
      <w:r>
        <w:rPr>
          <w:rFonts w:ascii="Times New Roman" w:hAnsi="Times New Roman" w:cs="Times New Roman"/>
          <w:sz w:val="24"/>
          <w:szCs w:val="24"/>
        </w:rPr>
        <w:t xml:space="preserve">可监测抑制脑电持续时间/累计持续时间；</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可显示原始脑电波形：支持单、双通道脑电图显示，实时显示原始脑电波形；</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eastAsia="宋体" w:cs="Times New Roman"/>
          <w:sz w:val="24"/>
          <w:szCs w:val="24"/>
        </w:rPr>
        <w:t xml:space="preserve">▲</w:t>
      </w:r>
      <w:r>
        <w:rPr>
          <w:rFonts w:ascii="Times New Roman" w:hAnsi="Times New Roman" w:cs="Times New Roman"/>
          <w:sz w:val="24"/>
          <w:szCs w:val="24"/>
        </w:rPr>
        <w:t xml:space="preserve">可显示麻醉深度参数趋势图：实时显示单、双通道脑镇静程度的量化指数的变化趋势；</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eastAsia="宋体" w:cs="Times New Roman"/>
          <w:sz w:val="24"/>
          <w:szCs w:val="24"/>
        </w:rPr>
        <w:t xml:space="preserve">▲</w:t>
      </w:r>
      <w:r>
        <w:rPr>
          <w:rFonts w:ascii="Times New Roman" w:hAnsi="Times New Roman" w:cs="Times New Roman"/>
          <w:sz w:val="24"/>
          <w:szCs w:val="24"/>
        </w:rPr>
        <w:t xml:space="preserve">可显示频谱图：能显示单、双通道频谱图（密度谱阵列，DSA），频谱图对应的实时分析（重心频率、MDF），双通道模式下可显示（对称度指数，BSI）；</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具有滤波功能抗肌电、电刀干扰；</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eastAsia="宋体" w:cs="Times New Roman"/>
          <w:sz w:val="24"/>
          <w:szCs w:val="24"/>
        </w:rPr>
        <w:t xml:space="preserve">▲</w:t>
      </w:r>
      <w:r>
        <w:rPr>
          <w:rFonts w:ascii="Times New Roman" w:hAnsi="Times New Roman" w:cs="Times New Roman"/>
          <w:sz w:val="24"/>
          <w:szCs w:val="24"/>
        </w:rPr>
        <w:t xml:space="preserve">可存储≥4500小时的数据和趋势图形；数据可提供USB端口输出、下载；可导出pdf格式的频谱图文件；</w:t>
      </w:r>
      <w:r>
        <w:rPr>
          <w:rFonts w:ascii="Times New Roman" w:hAnsi="Times New Roman" w:cs="Times New Roman"/>
          <w:b/>
          <w:bCs/>
          <w:sz w:val="24"/>
          <w:szCs w:val="24"/>
        </w:rPr>
        <w:t xml:space="preserve">（</w:t>
      </w:r>
      <w:r>
        <w:rPr>
          <w:rFonts w:hint="eastAsia" w:ascii="Times New Roman" w:hAnsi="Times New Roman" w:cs="Times New Roman"/>
          <w:b/>
          <w:bCs/>
          <w:sz w:val="24"/>
          <w:szCs w:val="24"/>
        </w:rPr>
        <w:t xml:space="preserve">需提供相关佐证材料</w:t>
      </w:r>
      <w:r>
        <w:rPr>
          <w:rFonts w:ascii="Times New Roman" w:hAnsi="Times New Roman" w:cs="Times New Roman"/>
          <w:b/>
          <w:bCs/>
          <w:sz w:val="24"/>
          <w:szCs w:val="24"/>
        </w:rPr>
        <w:t xml:space="preserve">）</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具有麻醉深度参数日志显示功能：可显示监测全过程的麻醉深度参数数值和图形，并持续更新；</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具有打印功能：可通过移动存储器打印分析数据；</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具有报警限制功能：可调设高、低限报警数值；</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具有患者连线信息提示功能：可实时提示导连线脱落或电极接触不良等状态信息；</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具有传感器数据显示功能：可显示传感器上每一编号电极的电阻值；</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具有传感器自检功能：可自动提示检测传感器的实时信息；</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具有系统自检功能：可对主机、麻醉深度导联线和传感器进行自检；</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具有保存当前设置功能；</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具有运行中故障诊断及报警提示功能；</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具有病例演示功能；</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具有内置历史数据回放功能；</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前端采样率≥16K（16000）样本/秒</w:t>
      </w:r>
      <w:r/>
    </w:p>
    <w:p>
      <w:pPr>
        <w:pStyle w:val="935"/>
        <w:numPr>
          <w:ilvl w:val="0"/>
          <w:numId w:val="6"/>
        </w:numPr>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模数转换分辨率≥24位</w:t>
      </w:r>
      <w:r/>
    </w:p>
    <w:p>
      <w:pPr>
        <w:jc w:val="left"/>
        <w:spacing w:line="400" w:lineRule="exact"/>
        <w:rPr>
          <w:rFonts w:ascii="Times New Roman" w:hAnsi="Times New Roman" w:cs="Times New Roman"/>
          <w:sz w:val="24"/>
        </w:rPr>
      </w:pPr>
      <w:r>
        <w:rPr>
          <w:rFonts w:ascii="Times New Roman" w:hAnsi="Times New Roman" w:cs="Times New Roman"/>
          <w:sz w:val="24"/>
        </w:rPr>
      </w:r>
      <w:r/>
    </w:p>
    <w:p>
      <w:pPr>
        <w:jc w:val="left"/>
        <w:spacing w:line="400" w:lineRule="exact"/>
        <w:rPr>
          <w:rFonts w:ascii="Times New Roman" w:hAnsi="Times New Roman" w:cs="Times New Roman"/>
          <w:sz w:val="24"/>
        </w:rPr>
      </w:pPr>
      <w:r>
        <w:rPr>
          <w:rFonts w:ascii="Times New Roman" w:hAnsi="Times New Roman" w:cs="Times New Roman"/>
          <w:sz w:val="24"/>
        </w:rPr>
      </w:r>
      <w:r/>
    </w:p>
    <w:p>
      <w:pPr>
        <w:spacing w:line="400" w:lineRule="exact"/>
        <w:rPr>
          <w:rFonts w:ascii="Times New Roman" w:hAnsi="Times New Roman" w:cs="Times New Roman"/>
          <w:b/>
          <w:bCs/>
          <w:sz w:val="24"/>
        </w:rPr>
      </w:pPr>
      <w:r>
        <w:rPr>
          <w:rFonts w:ascii="Times New Roman" w:hAnsi="Times New Roman" w:cs="Times New Roman"/>
          <w:b/>
          <w:bCs/>
          <w:sz w:val="24"/>
        </w:rPr>
        <w:t xml:space="preserve">备注：</w:t>
      </w:r>
      <w:r/>
    </w:p>
    <w:p>
      <w:pPr>
        <w:numPr>
          <w:ilvl w:val="0"/>
          <w:numId w:val="7"/>
        </w:numPr>
        <w:ind w:firstLine="482"/>
        <w:spacing w:line="400" w:lineRule="exact"/>
        <w:rPr>
          <w:rFonts w:ascii="Times New Roman" w:hAnsi="Times New Roman" w:eastAsia="宋体" w:cs="Times New Roman"/>
          <w:b/>
          <w:bCs/>
          <w:sz w:val="24"/>
        </w:rPr>
      </w:pPr>
      <w:r>
        <w:rPr>
          <w:rFonts w:ascii="Times New Roman" w:hAnsi="Times New Roman" w:eastAsia="宋体" w:cs="Times New Roman"/>
          <w:b/>
          <w:bCs/>
          <w:sz w:val="24"/>
        </w:rPr>
        <w:t xml:space="preserve">其中打“</w:t>
      </w:r>
      <w:r>
        <w:rPr>
          <w:rFonts w:hint="eastAsia" w:ascii="Segoe UI Symbol" w:hAnsi="Segoe UI Symbol" w:eastAsia="宋体" w:cs="Segoe UI Symbol"/>
          <w:b/>
          <w:bCs/>
          <w:sz w:val="24"/>
        </w:rPr>
        <w:t xml:space="preserve">★</w:t>
      </w:r>
      <w:r>
        <w:rPr>
          <w:rFonts w:ascii="Times New Roman" w:hAnsi="Times New Roman" w:eastAsia="宋体" w:cs="Times New Roman"/>
          <w:b/>
          <w:bCs/>
          <w:sz w:val="24"/>
        </w:rPr>
        <w:t xml:space="preserve">”项为实质性要求，有一项负偏离将作为无效投标；打“▲”项为重要指标项，未按要求提供佐证材料的视为负偏离，佐证材料可为产品注册证、有效检测报告、官方使用说明书、产品铭牌、实物照片、功能界面截图等。投标人提供的佐证材料应将相关功能指标醒目标记，因未标记而导致的评审风险由投标人自行承担。</w:t>
      </w:r>
      <w:r/>
    </w:p>
    <w:p>
      <w:pPr>
        <w:numPr>
          <w:ilvl w:val="0"/>
          <w:numId w:val="7"/>
        </w:numPr>
        <w:ind w:firstLine="482"/>
        <w:spacing w:line="400" w:lineRule="exact"/>
        <w:rPr>
          <w:rFonts w:ascii="Times New Roman" w:hAnsi="Times New Roman" w:eastAsia="宋体" w:cs="Times New Roman"/>
          <w:b/>
          <w:bCs/>
          <w:sz w:val="24"/>
        </w:rPr>
      </w:pPr>
      <w:r>
        <w:rPr>
          <w:rFonts w:hint="eastAsia" w:ascii="Times New Roman" w:hAnsi="Times New Roman" w:eastAsia="宋体" w:cs="Times New Roman"/>
          <w:b/>
          <w:bCs/>
          <w:sz w:val="24"/>
        </w:rPr>
        <w:t xml:space="preserve">本项目</w:t>
      </w:r>
      <w:r>
        <w:rPr>
          <w:rFonts w:hint="eastAsia" w:ascii="Times New Roman" w:hAnsi="Times New Roman" w:eastAsia="宋体" w:cs="Times New Roman"/>
          <w:b/>
          <w:bCs/>
          <w:sz w:val="24"/>
          <w:lang w:val="en-US" w:eastAsia="zh-CN"/>
        </w:rPr>
        <w:t xml:space="preserve">采购包1</w:t>
      </w:r>
      <w:r>
        <w:rPr>
          <w:rFonts w:hint="eastAsia" w:ascii="Times New Roman" w:hAnsi="Times New Roman" w:eastAsia="宋体" w:cs="Times New Roman"/>
          <w:b/>
          <w:bCs/>
          <w:sz w:val="24"/>
        </w:rPr>
        <w:t xml:space="preserve">核心产品</w:t>
      </w:r>
      <w:r>
        <w:rPr>
          <w:rFonts w:hint="eastAsia" w:ascii="Times New Roman" w:hAnsi="Times New Roman" w:eastAsia="宋体" w:cs="Times New Roman"/>
          <w:b/>
          <w:bCs/>
          <w:sz w:val="24"/>
          <w:lang w:val="en-US" w:eastAsia="zh-CN"/>
        </w:rPr>
        <w:t xml:space="preserve">为</w:t>
      </w:r>
      <w:r>
        <w:rPr>
          <w:rFonts w:hint="eastAsia" w:ascii="Times New Roman" w:hAnsi="Times New Roman" w:eastAsia="宋体" w:cs="Times New Roman"/>
          <w:b/>
          <w:bCs/>
          <w:sz w:val="24"/>
        </w:rPr>
        <w:t xml:space="preserve">：</w:t>
      </w:r>
      <w:r>
        <w:rPr>
          <w:rFonts w:hint="eastAsia" w:ascii="Times New Roman" w:hAnsi="Times New Roman" w:eastAsia="宋体" w:cs="Times New Roman"/>
          <w:b/>
          <w:bCs/>
          <w:sz w:val="24"/>
          <w:u w:val="single"/>
          <w:lang w:val="en-US" w:eastAsia="zh-CN"/>
        </w:rPr>
        <w:t xml:space="preserve"> 麻醉监护仪 </w:t>
      </w:r>
      <w:r/>
    </w:p>
    <w:p>
      <w:pPr>
        <w:numPr>
          <w:ilvl w:val="0"/>
          <w:numId w:val="0"/>
        </w:numPr>
        <w:ind w:firstLine="420"/>
        <w:spacing w:line="400" w:lineRule="exac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 xml:space="preserve">通过资格审查、符合性审查的多家投标人提供的</w:t>
      </w:r>
      <w:r>
        <w:rPr>
          <w:rFonts w:hint="eastAsia" w:ascii="Times New Roman" w:hAnsi="Times New Roman" w:eastAsia="宋体" w:cs="Times New Roman"/>
          <w:b/>
          <w:bCs/>
          <w:sz w:val="24"/>
        </w:rPr>
        <w:t xml:space="preserve">核心产品品牌</w:t>
      </w:r>
      <w:r>
        <w:rPr>
          <w:rFonts w:hint="eastAsia" w:ascii="Times New Roman" w:hAnsi="Times New Roman" w:eastAsia="宋体" w:cs="Times New Roman"/>
          <w:b w:val="0"/>
          <w:bCs w:val="0"/>
          <w:sz w:val="24"/>
        </w:rPr>
        <w:t xml:space="preserve">相同的，均按一家投标人计算</w:t>
      </w:r>
      <w:r>
        <w:rPr>
          <w:rFonts w:hint="eastAsia" w:ascii="Times New Roman" w:hAnsi="Times New Roman" w:eastAsia="宋体" w:cs="Times New Roman"/>
          <w:b w:val="0"/>
          <w:bCs w:val="0"/>
          <w:sz w:val="24"/>
          <w:lang w:eastAsia="zh-CN"/>
        </w:rPr>
        <w:t xml:space="preserve">，</w:t>
      </w:r>
      <w:r>
        <w:rPr>
          <w:rFonts w:hint="eastAsia" w:ascii="Times New Roman" w:hAnsi="Times New Roman" w:eastAsia="宋体" w:cs="Times New Roman"/>
          <w:b w:val="0"/>
          <w:bCs w:val="0"/>
          <w:sz w:val="24"/>
        </w:rPr>
        <w:t xml:space="preserve">评审后得分最高的同品牌投标人获得中标人推荐资格</w:t>
      </w:r>
      <w:r>
        <w:rPr>
          <w:rFonts w:hint="eastAsia" w:ascii="Times New Roman" w:hAnsi="Times New Roman" w:eastAsia="宋体" w:cs="Times New Roman"/>
          <w:b w:val="0"/>
          <w:bCs w:val="0"/>
          <w:sz w:val="24"/>
          <w:lang w:eastAsia="zh-CN"/>
        </w:rPr>
        <w:t xml:space="preserve">；</w:t>
      </w:r>
      <w:r>
        <w:rPr>
          <w:rFonts w:hint="eastAsia" w:ascii="Times New Roman" w:hAnsi="Times New Roman" w:eastAsia="宋体" w:cs="Times New Roman"/>
          <w:b w:val="0"/>
          <w:bCs w:val="0"/>
          <w:sz w:val="24"/>
        </w:rPr>
        <w:t xml:space="preserve">评审得分相同的，由采购人或者采购人委托评标委员会按照招标文件规定的方式确定一个投标人获得中标人推荐资格。</w:t>
      </w:r>
      <w:r/>
    </w:p>
    <w:p>
      <w:pPr>
        <w:ind w:firstLine="482"/>
        <w:spacing w:line="400" w:lineRule="exact"/>
        <w:rPr>
          <w:rFonts w:ascii="Times New Roman" w:hAnsi="Times New Roman" w:eastAsia="宋体" w:cs="Times New Roman"/>
          <w:b/>
          <w:sz w:val="24"/>
        </w:rPr>
      </w:pPr>
      <w:r>
        <w:rPr>
          <w:rFonts w:hint="eastAsia" w:ascii="Times New Roman" w:hAnsi="Times New Roman" w:eastAsia="宋体" w:cs="Times New Roman"/>
          <w:b/>
          <w:sz w:val="24"/>
          <w:lang w:val="en-US" w:eastAsia="zh-CN"/>
        </w:rPr>
        <w:t xml:space="preserve">3</w:t>
      </w:r>
      <w:r>
        <w:rPr>
          <w:rFonts w:ascii="Times New Roman" w:hAnsi="Times New Roman" w:eastAsia="宋体" w:cs="Times New Roman"/>
          <w:b/>
          <w:sz w:val="24"/>
        </w:rPr>
        <w:t xml:space="preserve">.投标产品属于医疗器械注册范畴的，须提供《医疗器械注册证》。（扫描件）</w:t>
      </w:r>
      <w:r/>
    </w:p>
    <w:p>
      <w:pPr>
        <w:ind w:firstLine="480"/>
        <w:spacing w:line="400" w:lineRule="exact"/>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4</w:t>
      </w:r>
      <w:r>
        <w:rPr>
          <w:rFonts w:ascii="Times New Roman" w:hAnsi="Times New Roman" w:eastAsia="宋体" w:cs="Times New Roman"/>
          <w:sz w:val="24"/>
        </w:rPr>
        <w:t xml:space="preserve">.投标人必须如实地在偏离说明中做出明确的逐项响应承诺，并对其真实性负责。</w:t>
      </w:r>
      <w:r/>
    </w:p>
    <w:p>
      <w:pPr>
        <w:ind w:firstLine="480"/>
        <w:spacing w:line="400" w:lineRule="exact"/>
        <w:rPr>
          <w:rFonts w:ascii="Times New Roman" w:hAnsi="Times New Roman" w:eastAsia="宋体" w:cs="Times New Roman"/>
          <w:bCs/>
          <w:sz w:val="24"/>
        </w:rPr>
      </w:pPr>
      <w:r>
        <w:rPr>
          <w:rFonts w:hint="eastAsia" w:ascii="Times New Roman" w:hAnsi="Times New Roman" w:eastAsia="宋体" w:cs="Times New Roman"/>
          <w:sz w:val="24"/>
          <w:lang w:val="en-US" w:eastAsia="zh-CN"/>
        </w:rPr>
        <w:t xml:space="preserve">5</w:t>
      </w:r>
      <w:r>
        <w:rPr>
          <w:rFonts w:ascii="Times New Roman" w:hAnsi="Times New Roman" w:eastAsia="宋体" w:cs="Times New Roman"/>
          <w:sz w:val="24"/>
        </w:rPr>
        <w:t xml:space="preserve">.所投产品技术参数单位与采购文件不一致的由投标供应商自行换算成与采购文件一</w:t>
      </w:r>
      <w:r>
        <w:rPr>
          <w:rFonts w:ascii="Times New Roman" w:hAnsi="Times New Roman" w:eastAsia="宋体" w:cs="Times New Roman"/>
          <w:bCs/>
          <w:sz w:val="24"/>
        </w:rPr>
        <w:t xml:space="preserve">致的单位。</w:t>
      </w:r>
      <w:r/>
    </w:p>
    <w:p>
      <w:pPr>
        <w:ind w:firstLine="480"/>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lang w:val="en-US" w:eastAsia="zh-CN"/>
        </w:rPr>
        <w:t xml:space="preserve">6</w:t>
      </w:r>
      <w:r>
        <w:rPr>
          <w:rFonts w:ascii="Times New Roman" w:hAnsi="Times New Roman" w:eastAsia="宋体" w:cs="Times New Roman"/>
          <w:sz w:val="24"/>
        </w:rPr>
        <w:t xml:space="preserve">.如中标单位供货产品的技术参数与“投标文件技术规范描述”不符，则按“提供虚假材料谋取中标”处理。</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 xml:space="preserve">四、交货时间和地点：</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交货时间：签订合同后</w:t>
      </w:r>
      <w:r>
        <w:rPr>
          <w:rFonts w:ascii="Times New Roman" w:hAnsi="Times New Roman" w:eastAsia="宋体" w:cs="Times New Roman"/>
          <w:sz w:val="24"/>
          <w:szCs w:val="24"/>
          <w:u w:val="single"/>
        </w:rPr>
        <w:t xml:space="preserve">30</w:t>
      </w:r>
      <w:r>
        <w:rPr>
          <w:rFonts w:ascii="Times New Roman" w:hAnsi="Times New Roman" w:eastAsia="宋体" w:cs="Times New Roman"/>
          <w:sz w:val="24"/>
          <w:szCs w:val="24"/>
        </w:rPr>
        <w:t xml:space="preserve">天内。（各供应商报出最早交货期限）</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交货地点：江阴市人民医院</w:t>
      </w:r>
      <w:bookmarkStart w:id="13" w:name="_Hlk231804368"/>
      <w:r>
        <w:rPr>
          <w:rFonts w:ascii="Times New Roman" w:hAnsi="Times New Roman" w:eastAsia="宋体" w:cs="Times New Roman"/>
          <w:sz w:val="24"/>
          <w:szCs w:val="24"/>
        </w:rPr>
        <w:t xml:space="preserve">敔山湾院区</w:t>
      </w:r>
      <w:bookmarkEnd w:id="13"/>
      <w:r>
        <w:rPr>
          <w:rFonts w:ascii="Times New Roman" w:hAnsi="Times New Roman" w:eastAsia="宋体" w:cs="Times New Roman"/>
          <w:sz w:val="24"/>
          <w:szCs w:val="24"/>
        </w:rPr>
        <w:t xml:space="preserve">。</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 xml:space="preserve">五、安装及验收：</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3.提供设备的出厂检验报告、合格证书、装箱单，并预先提供验收标准，填写验收报告书，供双方最终确认使用。</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4.设备安装后，按国际和国家标准及厂方标准进行质量验收。卖方应向买方提供详细的验收标准，验收专用仪器，并承担相关费用。</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 xml:space="preserve">六、技术培训：</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1.卖方技术人员必须免费对安装、调试、操作、维修、保养等事项向买方作现场技术培训，提供必要次数厂家工程师跟台服务，保证使用人员正常操作设备的各种功能。</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2.根据设备技术要求，向买方提供使用人员的集中培训。</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3.如买方需将该设备联入内部网络或外部网络（LIS</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HIS</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PACS等系统），卖方必须承担所有相关费用（含开放端口费用）并提供技术支持。</w:t>
      </w:r>
      <w:r/>
    </w:p>
    <w:p>
      <w:pP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line="400" w:lineRule="exact"/>
        <w:rPr>
          <w:rFonts w:ascii="Times New Roman" w:hAnsi="Times New Roman" w:eastAsia="宋体" w:cs="Times New Roman"/>
          <w:sz w:val="24"/>
          <w:szCs w:val="24"/>
        </w:rPr>
      </w:pPr>
      <w:r>
        <w:rPr>
          <w:rFonts w:ascii="Times New Roman" w:hAnsi="Times New Roman" w:eastAsia="黑体" w:cs="Times New Roman"/>
          <w:sz w:val="28"/>
          <w:szCs w:val="28"/>
        </w:rPr>
        <w:t xml:space="preserve">七、备件和资料：</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1.为保证设备正常运行，卖方应在中国境内设置备件库，存入所有必需的备件，并保证10年以上的供应期。</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2.专用工具：卖方向买方提供设备维护的专用工具。</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4.如后期涉及软件重装或升级，终身免费。</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 xml:space="preserve">八、质量保证及售后服务：</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1.投标方</w:t>
      </w:r>
      <w:r>
        <w:rPr>
          <w:rFonts w:ascii="Times New Roman" w:hAnsi="Times New Roman" w:eastAsia="宋体" w:cs="Times New Roman"/>
          <w:b/>
          <w:sz w:val="24"/>
          <w:szCs w:val="24"/>
        </w:rPr>
        <w:t xml:space="preserve">须在投标文件中注明所投产品说明书或质量保修卡等其他随设备出厂资料的原厂质保期限</w:t>
      </w:r>
      <w:r>
        <w:rPr>
          <w:rFonts w:ascii="Times New Roman" w:hAnsi="Times New Roman" w:eastAsia="宋体" w:cs="Times New Roman"/>
          <w:sz w:val="24"/>
          <w:szCs w:val="24"/>
        </w:rPr>
        <w:t xml:space="preserve">，至少1年（含所有配件及易损件）（合同签订后采购方货物开箱验收时与产品说明书或质量保修卡等其他随设备出厂的资料进行核对）。</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2.质保期内每年保养≥2次，按产品说明书要求执行保养。</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3.要求具备客户服务专线电话，接到医院报修电话须0.5小时内给予明确答复，并在24小时内赶到现场维修，单次故障最长修复时间在2日之内。</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4.要求保证开机率≥96%（按一年365天），全年停机日期不超过14天</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若开机率 ＜ 96%，每停机1天则保修期延长7天。</w:t>
      </w:r>
      <w:r/>
    </w:p>
    <w:p>
      <w:pPr>
        <w:ind w:firstLine="480"/>
        <w:spacing w:line="400" w:lineRule="exact"/>
        <w:rPr>
          <w:rFonts w:ascii="Times New Roman" w:hAnsi="Times New Roman" w:eastAsia="宋体" w:cs="Times New Roman"/>
          <w:sz w:val="24"/>
          <w:szCs w:val="24"/>
        </w:rPr>
      </w:pPr>
      <w:r/>
      <w:bookmarkStart w:id="14" w:name="_Hlk231804430"/>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.如后期涉及软件重装或升级，终身免费。</w:t>
      </w:r>
      <w:bookmarkEnd w:id="14"/>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 xml:space="preserve">九、付款方式：</w:t>
      </w:r>
      <w:r/>
    </w:p>
    <w:p>
      <w:pPr>
        <w:ind w:firstLine="480"/>
        <w:spacing w:line="400" w:lineRule="exact"/>
        <w:rPr>
          <w:rFonts w:ascii="Times New Roman" w:hAnsi="Times New Roman" w:eastAsia="宋体" w:cs="Times New Roman"/>
          <w:sz w:val="24"/>
          <w:szCs w:val="24"/>
        </w:rPr>
      </w:pPr>
      <w:r/>
      <w:bookmarkStart w:id="15" w:name="_Hlk231804442"/>
      <w:r>
        <w:rPr>
          <w:rFonts w:ascii="Times New Roman" w:hAnsi="Times New Roman" w:eastAsia="宋体" w:cs="Times New Roman"/>
          <w:sz w:val="24"/>
          <w:szCs w:val="24"/>
        </w:rPr>
        <w:t xml:space="preserve">分两期付款。</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第1期；全部设备到货后，由甲方逐一清点无误，数量，规格型号等表面质量与合同规定相符；全部设备</w:t>
      </w:r>
      <w:r>
        <w:rPr>
          <w:rFonts w:hint="eastAsia" w:ascii="Times New Roman" w:hAnsi="Times New Roman" w:eastAsia="宋体" w:cs="Times New Roman"/>
          <w:sz w:val="24"/>
          <w:szCs w:val="24"/>
        </w:rPr>
        <w:t xml:space="preserve">软件</w:t>
      </w:r>
      <w:r>
        <w:rPr>
          <w:rFonts w:ascii="Times New Roman" w:hAnsi="Times New Roman" w:eastAsia="宋体" w:cs="Times New Roman"/>
          <w:sz w:val="24"/>
          <w:szCs w:val="24"/>
        </w:rPr>
        <w:t xml:space="preserve">，硬件安装完毕，系统工作稳定，无故障，符合招标文件及合同要求，正常运行满1个月后，由甲方组织验收合格签字后，甲方将支付合同总价的80%。</w:t>
      </w:r>
      <w:r/>
    </w:p>
    <w:p>
      <w:pPr>
        <w:ind w:firstLine="480"/>
        <w:spacing w:line="40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第2期：验收合格满12个月，甲方付清余款（不计息）。</w:t>
      </w:r>
      <w:r/>
    </w:p>
    <w:p>
      <w:pPr>
        <w:ind w:firstLine="480"/>
        <w:spacing w:line="4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项目资金来源为财政资金，具体付款时间以财政支付节点及有关要求为准</w:t>
      </w:r>
      <w:bookmarkStart w:id="25" w:name="_GoBack"/>
      <w:r/>
      <w:bookmarkEnd w:id="25"/>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bookmarkEnd w:id="15"/>
      <w:r/>
      <w:r/>
    </w:p>
    <w:p>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 xml:space="preserve">十、有关说明：</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b/>
          <w:bCs/>
          <w:sz w:val="24"/>
          <w:szCs w:val="24"/>
        </w:rPr>
        <w:t xml:space="preserve">1.公开招标为两个包，投标人可全投或选投</w:t>
      </w:r>
      <w:r>
        <w:rPr>
          <w:rFonts w:ascii="Times New Roman" w:hAnsi="Times New Roman" w:eastAsia="宋体" w:cs="Times New Roman"/>
          <w:sz w:val="24"/>
          <w:szCs w:val="24"/>
        </w:rPr>
        <w:t xml:space="preserve">，但每包内容必须报全，不得漏项。</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2.投标报价应包括产品、税金、包装、运费、仓储、质量检验、技术指导、验收、售后服务费、安装、培训等所有费用。</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4.货物保管：货物到达买方地址至验收合格期间，由卖方负责保管，若因保管不当造成的质量问题，卖方应负责修理，同时有关费用由卖方承担。</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5.供应商若非投标产品原厂家的，成交后签订合同时须提供该产品原厂家（或驻中国办事机构）出具的有效的经销授权书。</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6.凡涉及招标文件的补充说明或修正，均以江阴市政府采购中心书面依据为准。</w:t>
      </w:r>
      <w:r/>
    </w:p>
    <w:p>
      <w:pPr>
        <w:spacing w:line="400" w:lineRule="exact"/>
        <w:sectPr>
          <w:footnotePr/>
          <w:endnotePr/>
          <w:type w:val="nextPage"/>
          <w:pgSz w:w="11906" w:h="16838" w:orient="portrait"/>
          <w:pgMar w:top="1247" w:right="1247" w:bottom="1247" w:left="1247" w:header="680" w:footer="992" w:gutter="0"/>
          <w:cols w:num="1" w:sep="0" w:space="720" w:equalWidth="1"/>
          <w:docGrid w:linePitch="360"/>
        </w:sectPr>
      </w:pPr>
      <w:r>
        <w:rPr>
          <w:rFonts w:ascii="Times New Roman" w:hAnsi="Times New Roman" w:eastAsia="宋体" w:cs="Times New Roman"/>
          <w:sz w:val="24"/>
          <w:szCs w:val="24"/>
        </w:rPr>
        <w:t xml:space="preserve">7.江阴市政府采购中心对本次招标结果不做任何解释。</w:t>
      </w:r>
      <w:r/>
    </w:p>
    <w:p>
      <w:pPr>
        <w:jc w:val="center"/>
        <w:spacing w:line="400" w:lineRule="exact"/>
        <w:tabs>
          <w:tab w:val="left" w:pos="0" w:leader="none"/>
        </w:tabs>
        <w:rPr>
          <w:rFonts w:hint="eastAsia" w:ascii="黑体" w:hAnsi="黑体" w:eastAsia="黑体" w:cs="Times New Roman"/>
          <w:bCs/>
          <w:sz w:val="30"/>
          <w:szCs w:val="30"/>
        </w:rPr>
      </w:pPr>
      <w:r>
        <w:rPr>
          <w:rFonts w:hint="eastAsia" w:ascii="黑体" w:hAnsi="黑体" w:eastAsia="黑体" w:cs="Times New Roman"/>
          <w:bCs/>
          <w:sz w:val="30"/>
          <w:szCs w:val="30"/>
        </w:rPr>
      </w:r>
      <w:r/>
    </w:p>
    <w:p>
      <w:pPr>
        <w:pStyle w:val="888"/>
      </w:pPr>
      <w:r/>
      <w:bookmarkStart w:id="16" w:name="_Toc213847316"/>
      <w:r>
        <w:rPr>
          <w:rFonts w:hint="eastAsia"/>
        </w:rPr>
        <w:t xml:space="preserve">第四章  评标方法和评标标准</w:t>
      </w:r>
      <w:bookmarkEnd w:id="16"/>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r>
      <w:r/>
    </w:p>
    <w:p>
      <w:pPr>
        <w:jc w:val="left"/>
        <w:spacing w:line="6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hint="eastAsia"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hint="eastAsia"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hint="eastAsia" w:ascii="宋体" w:hAnsi="宋体" w:eastAsia="宋体" w:cs="Times New Roman"/>
          <w:b/>
          <w:sz w:val="24"/>
        </w:rPr>
      </w:pPr>
      <w:r>
        <w:rPr>
          <w:rFonts w:hint="eastAsia" w:ascii="宋体" w:hAnsi="宋体" w:eastAsia="宋体" w:cs="Times New Roman"/>
          <w:b/>
          <w:sz w:val="24"/>
        </w:rPr>
      </w:r>
      <w:r/>
    </w:p>
    <w:p>
      <w:pPr>
        <w:numPr>
          <w:ilvl w:val="0"/>
          <w:numId w:val="2"/>
        </w:numPr>
        <w:spacing w:line="600" w:lineRule="exact"/>
        <w:rPr>
          <w:rFonts w:hint="eastAsia" w:ascii="黑体" w:hAnsi="黑体" w:eastAsia="黑体" w:cs="Times New Roman"/>
          <w:sz w:val="28"/>
          <w:szCs w:val="28"/>
        </w:rPr>
      </w:pPr>
      <w:r>
        <w:rPr>
          <w:rFonts w:hint="eastAsia" w:ascii="黑体" w:hAnsi="黑体" w:eastAsia="黑体" w:cs="Times New Roman"/>
          <w:sz w:val="28"/>
          <w:szCs w:val="28"/>
        </w:rPr>
        <w:t xml:space="preserve">评分标准</w:t>
      </w:r>
      <w:r/>
    </w:p>
    <w:p>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 xml:space="preserve">采购包1、采购包2</w:t>
      </w:r>
      <w:r/>
    </w:p>
    <w:tbl>
      <w:tblPr>
        <w:tblStyle w:val="866"/>
        <w:tblW w:w="9628"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96" w:type="dxa"/>
          <w:top w:w="56" w:type="dxa"/>
          <w:right w:w="96" w:type="dxa"/>
          <w:bottom w:w="56" w:type="dxa"/>
        </w:tblCellMar>
        <w:tblLook w:val="04A0" w:firstRow="1" w:lastRow="0" w:firstColumn="1" w:lastColumn="0" w:noHBand="0" w:noVBand="1"/>
      </w:tblPr>
      <w:tblGrid>
        <w:gridCol w:w="1720"/>
        <w:gridCol w:w="792"/>
        <w:gridCol w:w="842"/>
        <w:gridCol w:w="5482"/>
        <w:gridCol w:w="792"/>
      </w:tblGrid>
      <w:tr>
        <w:trPr>
          <w:jc w:val="center"/>
          <w:tblHeader/>
        </w:trPr>
        <w:tc>
          <w:tcPr>
            <w:tcBorders>
              <w:top w:val="single" w:color="auto" w:sz="8" w:space="0"/>
              <w:left w:val="single" w:color="auto" w:sz="8" w:space="0"/>
              <w:bottom w:val="single" w:color="auto" w:sz="6" w:space="0"/>
              <w:right w:val="single" w:color="auto" w:sz="6" w:space="0"/>
            </w:tcBorders>
            <w:tcW w:w="1720"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482"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720" w:type="dxa"/>
            <w:vAlign w:val="center"/>
            <w:textDirection w:val="lrTb"/>
            <w:noWrap w:val="false"/>
          </w:tcPr>
          <w:p>
            <w:pPr>
              <w:jc w:val="center"/>
              <w:spacing w:line="400" w:lineRule="exact"/>
              <w:rPr>
                <w:rFonts w:ascii="Times New Roman" w:hAnsi="Times New Roman" w:eastAsia="Arial" w:cs="Times New Roman"/>
                <w:sz w:val="24"/>
                <w:szCs w:val="24"/>
              </w:rPr>
            </w:pPr>
            <w:r>
              <w:rPr>
                <w:rFonts w:hint="eastAsia" w:ascii="宋体" w:hAnsi="宋体" w:eastAsia="宋体" w:cs="宋体"/>
                <w:sz w:val="24"/>
                <w:szCs w:val="24"/>
              </w:rPr>
              <w:t xml:space="preserve">一、价格部分</w:t>
            </w:r>
            <w:r/>
          </w:p>
          <w:p>
            <w:pPr>
              <w:jc w:val="center"/>
              <w:spacing w:line="400" w:lineRule="exact"/>
              <w:rPr>
                <w:rFonts w:ascii="Times New Roman" w:hAnsi="Times New Roman" w:eastAsia="Arial" w:cs="Times New Roman"/>
                <w:sz w:val="24"/>
                <w:szCs w:val="24"/>
              </w:rPr>
            </w:pPr>
            <w:r>
              <w:rPr>
                <w:rFonts w:hint="eastAsia" w:ascii="宋体" w:hAnsi="宋体" w:eastAsia="宋体" w:cs="宋体"/>
                <w:sz w:val="24"/>
                <w:szCs w:val="24"/>
              </w:rPr>
              <w:t xml:space="preserve">（</w:t>
            </w:r>
            <w:r>
              <w:rPr>
                <w:rFonts w:ascii="Times New Roman" w:hAnsi="Times New Roman" w:eastAsia="Arial" w:cs="Times New Roman"/>
                <w:sz w:val="24"/>
                <w:szCs w:val="24"/>
              </w:rPr>
              <w:t xml:space="preserve">30</w:t>
            </w:r>
            <w:r>
              <w:rPr>
                <w:rFonts w:hint="eastAsia" w:ascii="宋体" w:hAnsi="宋体" w:eastAsia="宋体" w:cs="宋体"/>
                <w:sz w:val="24"/>
                <w:szCs w:val="24"/>
              </w:rPr>
              <w:t xml:space="preserve">分）</w:t>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ascii="Times New Roman" w:hAnsi="Times New Roman" w:eastAsia="Arial" w:cs="Times New Roman"/>
                <w:sz w:val="24"/>
                <w:szCs w:val="24"/>
              </w:rPr>
            </w:pPr>
            <w:r>
              <w:rPr>
                <w:rFonts w:ascii="Times New Roman" w:hAnsi="Times New Roman" w:eastAsia="Arial"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ascii="Times New Roman" w:hAnsi="Times New Roman" w:eastAsia="Arial" w:cs="Times New Roman"/>
                <w:sz w:val="24"/>
                <w:szCs w:val="24"/>
              </w:rPr>
            </w:pPr>
            <w:r>
              <w:rPr>
                <w:rFonts w:hint="eastAsia" w:ascii="宋体" w:hAnsi="宋体" w:eastAsia="宋体" w:cs="宋体"/>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spacing w:line="400" w:lineRule="exact"/>
              <w:rPr>
                <w:rFonts w:ascii="Times New Roman" w:hAnsi="Times New Roman" w:eastAsia="Arial" w:cs="Times New Roman"/>
                <w:sz w:val="24"/>
                <w:szCs w:val="24"/>
              </w:rPr>
            </w:pPr>
            <w:r>
              <w:rPr>
                <w:rFonts w:hint="eastAsia" w:ascii="宋体" w:hAnsi="宋体" w:eastAsia="宋体" w:cs="宋体"/>
                <w:sz w:val="24"/>
                <w:szCs w:val="24"/>
              </w:rPr>
              <w:t xml:space="preserve">满足招标文件要求且投标报价最低的投标报价为评标基准价，其价格为满分。其他投标人的价格分按照下列公式计算：</w:t>
            </w:r>
            <w:r/>
          </w:p>
          <w:p>
            <w:pPr>
              <w:jc w:val="left"/>
              <w:spacing w:line="400" w:lineRule="exact"/>
              <w:rPr>
                <w:rFonts w:ascii="Times New Roman" w:hAnsi="Times New Roman" w:eastAsia="Arial" w:cs="Times New Roman"/>
                <w:sz w:val="24"/>
                <w:szCs w:val="24"/>
              </w:rPr>
            </w:pPr>
            <w:r>
              <w:rPr>
                <w:rFonts w:hint="eastAsia" w:ascii="宋体" w:hAnsi="宋体" w:eastAsia="宋体" w:cs="宋体"/>
                <w:sz w:val="24"/>
                <w:szCs w:val="24"/>
              </w:rPr>
              <w:t xml:space="preserve">投标报价得分＝（评标基准价</w:t>
            </w:r>
            <w:r>
              <w:rPr>
                <w:rFonts w:ascii="Times New Roman" w:hAnsi="Times New Roman" w:eastAsia="Arial" w:cs="Times New Roman"/>
                <w:sz w:val="24"/>
                <w:szCs w:val="24"/>
              </w:rPr>
              <w:t xml:space="preserve">/</w:t>
            </w:r>
            <w:r>
              <w:rPr>
                <w:rFonts w:hint="eastAsia" w:ascii="宋体" w:hAnsi="宋体" w:eastAsia="宋体" w:cs="宋体"/>
                <w:sz w:val="24"/>
                <w:szCs w:val="24"/>
              </w:rPr>
              <w:t xml:space="preserve">投标报价）</w:t>
            </w:r>
            <w:r>
              <w:rPr>
                <w:rFonts w:ascii="Times New Roman" w:hAnsi="Times New Roman" w:eastAsia="Arial" w:cs="Times New Roman"/>
                <w:sz w:val="24"/>
                <w:szCs w:val="24"/>
              </w:rPr>
              <w:t xml:space="preserve">×30</w:t>
            </w:r>
            <w:r>
              <w:rPr>
                <w:rFonts w:hint="eastAsia" w:ascii="宋体" w:hAnsi="宋体" w:eastAsia="宋体" w:cs="宋体"/>
                <w:sz w:val="24"/>
                <w:szCs w:val="24"/>
              </w:rPr>
              <w:t xml:space="preserve">分</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ascii="Times New Roman" w:hAnsi="Times New Roman" w:eastAsia="Arial" w:cs="Times New Roman"/>
                <w:sz w:val="24"/>
                <w:szCs w:val="24"/>
              </w:rPr>
            </w:pPr>
            <w:r>
              <w:rPr>
                <w:rFonts w:ascii="Times New Roman" w:hAnsi="Times New Roman" w:eastAsia="Arial" w:cs="Times New Roman"/>
                <w:sz w:val="24"/>
                <w:szCs w:val="24"/>
              </w:rPr>
              <w:t xml:space="preserve">30</w:t>
            </w:r>
            <w:r/>
          </w:p>
        </w:tc>
      </w:tr>
      <w:tr>
        <w:trPr>
          <w:jc w:val="center"/>
        </w:trPr>
        <w:tc>
          <w:tcPr>
            <w:tcBorders>
              <w:top w:val="single" w:color="auto" w:sz="6" w:space="0"/>
              <w:left w:val="single" w:color="auto" w:sz="8" w:space="0"/>
              <w:bottom w:val="single" w:color="auto" w:sz="6" w:space="0"/>
              <w:right w:val="single" w:color="auto" w:sz="6" w:space="0"/>
            </w:tcBorders>
            <w:tcW w:w="1720" w:type="dxa"/>
            <w:vAlign w:val="center"/>
            <w:vMerge w:val="restart"/>
            <w:textDirection w:val="lrTb"/>
            <w:noWrap w:val="false"/>
          </w:tcPr>
          <w:p>
            <w:pPr>
              <w:jc w:val="center"/>
              <w:spacing w:line="400" w:lineRule="exact"/>
              <w:rPr>
                <w:rFonts w:ascii="Times New Roman" w:hAnsi="Times New Roman" w:eastAsia="Arial" w:cs="Times New Roman"/>
                <w:sz w:val="24"/>
                <w:szCs w:val="24"/>
              </w:rPr>
            </w:pPr>
            <w:r>
              <w:rPr>
                <w:rFonts w:hint="eastAsia" w:ascii="宋体" w:hAnsi="宋体" w:eastAsia="宋体" w:cs="宋体"/>
                <w:sz w:val="24"/>
                <w:szCs w:val="24"/>
              </w:rPr>
              <w:t xml:space="preserve">二、技术部分</w:t>
            </w:r>
            <w:r/>
          </w:p>
          <w:p>
            <w:pPr>
              <w:jc w:val="center"/>
              <w:spacing w:line="400" w:lineRule="exact"/>
              <w:rPr>
                <w:rFonts w:ascii="Times New Roman" w:hAnsi="Times New Roman" w:eastAsia="Arial" w:cs="Times New Roman"/>
                <w:sz w:val="24"/>
                <w:szCs w:val="24"/>
              </w:rPr>
            </w:pPr>
            <w:r>
              <w:rPr>
                <w:rFonts w:hint="eastAsia" w:ascii="宋体" w:hAnsi="宋体" w:eastAsia="宋体" w:cs="宋体"/>
                <w:sz w:val="24"/>
                <w:szCs w:val="24"/>
              </w:rPr>
              <w:t xml:space="preserve">（</w:t>
            </w:r>
            <w:r>
              <w:rPr>
                <w:rFonts w:ascii="Times New Roman" w:hAnsi="Times New Roman" w:eastAsia="Arial" w:cs="Times New Roman"/>
                <w:sz w:val="24"/>
                <w:szCs w:val="24"/>
              </w:rPr>
              <w:t xml:space="preserve">65</w:t>
            </w:r>
            <w:r>
              <w:rPr>
                <w:rFonts w:hint="eastAsia" w:ascii="宋体" w:hAnsi="宋体" w:eastAsia="宋体" w:cs="宋体"/>
                <w:sz w:val="24"/>
                <w:szCs w:val="24"/>
              </w:rPr>
              <w:t xml:space="preserve">分）</w:t>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ascii="Times New Roman" w:hAnsi="Times New Roman" w:eastAsia="Arial" w:cs="Times New Roman"/>
                <w:sz w:val="24"/>
                <w:szCs w:val="24"/>
              </w:rPr>
            </w:pPr>
            <w:r>
              <w:rPr>
                <w:rFonts w:ascii="Times New Roman" w:hAnsi="Times New Roman" w:eastAsia="Arial" w:cs="Times New Roman"/>
                <w:sz w:val="24"/>
                <w:szCs w:val="24"/>
              </w:rPr>
              <w:t xml:space="preserve">2.1</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ascii="Times New Roman" w:hAnsi="Times New Roman" w:eastAsia="Arial" w:cs="Times New Roman"/>
                <w:sz w:val="24"/>
              </w:rPr>
            </w:pPr>
            <w:r>
              <w:rPr>
                <w:rFonts w:hint="eastAsia" w:ascii="宋体" w:hAnsi="宋体" w:eastAsia="宋体" w:cs="宋体"/>
                <w:sz w:val="24"/>
              </w:rPr>
              <w:t xml:space="preserve">主要技术指标响应情况</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spacing w:line="400" w:lineRule="exact"/>
              <w:rPr>
                <w:rFonts w:ascii="Times New Roman" w:hAnsi="Times New Roman" w:cs="Times New Roman"/>
                <w:sz w:val="24"/>
              </w:rPr>
            </w:pPr>
            <w:r>
              <w:rPr>
                <w:rFonts w:ascii="Times New Roman" w:hAnsi="Times New Roman" w:cs="Times New Roman"/>
                <w:sz w:val="24"/>
              </w:rPr>
              <w:t xml:space="preserve">根据所投产品的主要技术指标的性能、技术参数的响应情况进行评审打分，产品符合招标文件要求，无负偏离得40分。打“</w:t>
            </w:r>
            <w:r>
              <w:rPr>
                <w:rFonts w:hint="eastAsia" w:ascii="Segoe UI Symbol" w:hAnsi="Segoe UI Symbol" w:cs="Segoe UI Symbol"/>
                <w:sz w:val="24"/>
              </w:rPr>
              <w:t xml:space="preserve">★</w:t>
            </w:r>
            <w:r>
              <w:rPr>
                <w:rFonts w:ascii="Times New Roman" w:hAnsi="Times New Roman" w:cs="Times New Roman"/>
                <w:sz w:val="24"/>
              </w:rPr>
              <w:t xml:space="preserve">”项参数有一项负偏离，则视为无效投标。</w:t>
            </w:r>
            <w:r/>
          </w:p>
          <w:p>
            <w:pPr>
              <w:jc w:val="left"/>
              <w:spacing w:line="400" w:lineRule="exact"/>
              <w:rPr>
                <w:rFonts w:ascii="Times New Roman" w:hAnsi="Times New Roman" w:cs="Times New Roman"/>
                <w:sz w:val="24"/>
              </w:rPr>
            </w:pPr>
            <w:r>
              <w:rPr>
                <w:rFonts w:ascii="Times New Roman" w:hAnsi="Times New Roman" w:eastAsia="宋体" w:cs="Times New Roman"/>
                <w:b/>
                <w:bCs/>
                <w:sz w:val="24"/>
              </w:rPr>
              <w:t xml:space="preserve">采购包1</w:t>
            </w:r>
            <w:r>
              <w:rPr>
                <w:rFonts w:ascii="Times New Roman" w:hAnsi="Times New Roman" w:cs="Times New Roman"/>
                <w:sz w:val="24"/>
              </w:rPr>
              <w:t xml:space="preserve">打“▲”项参数每一项负偏离扣</w:t>
            </w:r>
            <w:r>
              <w:rPr>
                <w:rFonts w:ascii="Times New Roman" w:hAnsi="Times New Roman" w:eastAsia="宋体" w:cs="Times New Roman"/>
                <w:sz w:val="24"/>
              </w:rPr>
              <w:t xml:space="preserve">2</w:t>
            </w:r>
            <w:r>
              <w:rPr>
                <w:rFonts w:ascii="Times New Roman" w:hAnsi="Times New Roman" w:cs="Times New Roman"/>
                <w:sz w:val="24"/>
              </w:rPr>
              <w:t xml:space="preserve">分，非打“▲”项参数每一项负偏离扣</w:t>
            </w:r>
            <w:r>
              <w:rPr>
                <w:rFonts w:ascii="Times New Roman" w:hAnsi="Times New Roman" w:eastAsia="宋体" w:cs="Times New Roman"/>
                <w:sz w:val="24"/>
              </w:rPr>
              <w:t xml:space="preserve">1</w:t>
            </w:r>
            <w:r>
              <w:rPr>
                <w:rFonts w:ascii="Times New Roman" w:hAnsi="Times New Roman" w:cs="Times New Roman"/>
                <w:sz w:val="24"/>
              </w:rPr>
              <w:t xml:space="preserve">分，扣完为止。</w:t>
            </w:r>
            <w:r/>
          </w:p>
          <w:p>
            <w:pPr>
              <w:jc w:val="left"/>
              <w:spacing w:line="400" w:lineRule="exact"/>
              <w:rPr>
                <w:rFonts w:ascii="Times New Roman" w:hAnsi="Times New Roman" w:cs="Times New Roman"/>
                <w:sz w:val="24"/>
              </w:rPr>
            </w:pPr>
            <w:r>
              <w:rPr>
                <w:rFonts w:ascii="Times New Roman" w:hAnsi="Times New Roman" w:eastAsia="宋体" w:cs="Times New Roman"/>
                <w:b/>
                <w:bCs/>
                <w:sz w:val="24"/>
              </w:rPr>
              <w:t xml:space="preserve">采购包2</w:t>
            </w:r>
            <w:r>
              <w:rPr>
                <w:rFonts w:ascii="Times New Roman" w:hAnsi="Times New Roman" w:cs="Times New Roman"/>
                <w:sz w:val="24"/>
              </w:rPr>
              <w:t xml:space="preserve">打“▲”项参数每一项负偏离扣</w:t>
            </w:r>
            <w:r>
              <w:rPr>
                <w:rFonts w:ascii="Times New Roman" w:hAnsi="Times New Roman" w:eastAsia="宋体" w:cs="Times New Roman"/>
                <w:sz w:val="24"/>
              </w:rPr>
              <w:t xml:space="preserve">3</w:t>
            </w:r>
            <w:r>
              <w:rPr>
                <w:rFonts w:ascii="Times New Roman" w:hAnsi="Times New Roman" w:cs="Times New Roman"/>
                <w:sz w:val="24"/>
              </w:rPr>
              <w:t xml:space="preserve">分，非打“▲”项参数每一项负偏离扣1.5分，扣完为止。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ascii="Times New Roman" w:hAnsi="Times New Roman" w:eastAsia="Arial" w:cs="Times New Roman"/>
                <w:sz w:val="24"/>
              </w:rPr>
            </w:pPr>
            <w:r>
              <w:rPr>
                <w:rFonts w:ascii="Times New Roman" w:hAnsi="Times New Roman" w:eastAsia="Arial" w:cs="Times New Roman"/>
                <w:sz w:val="24"/>
              </w:rPr>
              <w:t xml:space="preserve">40</w:t>
            </w:r>
            <w:r/>
          </w:p>
        </w:tc>
      </w:tr>
      <w:tr>
        <w:trPr>
          <w:jc w:val="center"/>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spacing w:line="400" w:lineRule="exact"/>
              <w:widowControl/>
              <w:rPr>
                <w:rFonts w:ascii="Times New Roman" w:hAnsi="Times New Roman" w:eastAsia="Arial" w:cs="Times New Roman"/>
                <w:sz w:val="24"/>
                <w:szCs w:val="24"/>
              </w:rPr>
            </w:pPr>
            <w:r>
              <w:rPr>
                <w:rFonts w:ascii="Times New Roman" w:hAnsi="Times New Roman" w:eastAsia="Arial" w:cs="Times New Roman"/>
                <w:sz w:val="24"/>
                <w:szCs w:val="24"/>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ascii="Times New Roman" w:hAnsi="Times New Roman" w:eastAsia="Arial" w:cs="Times New Roman"/>
                <w:sz w:val="24"/>
                <w:szCs w:val="24"/>
              </w:rPr>
            </w:pPr>
            <w:r>
              <w:rPr>
                <w:rFonts w:ascii="Times New Roman" w:hAnsi="Times New Roman" w:eastAsia="Arial" w:cs="Times New Roman"/>
                <w:sz w:val="24"/>
                <w:szCs w:val="24"/>
              </w:rPr>
              <w:t xml:space="preserve">2.2</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ascii="Times New Roman" w:hAnsi="Times New Roman" w:eastAsia="Arial" w:cs="Times New Roman"/>
                <w:sz w:val="24"/>
              </w:rPr>
            </w:pPr>
            <w:r>
              <w:rPr>
                <w:rFonts w:hint="eastAsia" w:ascii="宋体" w:hAnsi="宋体" w:eastAsia="宋体" w:cs="宋体"/>
                <w:sz w:val="24"/>
              </w:rPr>
              <w:t xml:space="preserve">实施方案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spacing w:line="400" w:lineRule="exact"/>
              <w:rPr>
                <w:rFonts w:ascii="Times New Roman" w:hAnsi="Times New Roman" w:eastAsia="Arial" w:cs="Times New Roman"/>
                <w:sz w:val="24"/>
              </w:rPr>
            </w:pPr>
            <w:r>
              <w:rPr>
                <w:rFonts w:hint="eastAsia" w:ascii="宋体" w:hAnsi="宋体" w:eastAsia="宋体" w:cs="宋体"/>
                <w:sz w:val="24"/>
              </w:rPr>
              <w:t xml:space="preserve">投标人针对本项目提供实施方案，包括①包装运输方案、②进度计划、③安装调试流程、④安装调试技术重难点、⑤安装调试人员安排，方案内容描述全面合理符合采购需求的得</w:t>
            </w:r>
            <w:r>
              <w:rPr>
                <w:rFonts w:ascii="Times New Roman" w:hAnsi="Times New Roman" w:eastAsia="Arial" w:cs="Times New Roman"/>
                <w:sz w:val="24"/>
              </w:rPr>
              <w:t xml:space="preserve">7.5</w:t>
            </w:r>
            <w:r>
              <w:rPr>
                <w:rFonts w:hint="eastAsia" w:ascii="宋体" w:hAnsi="宋体" w:eastAsia="宋体" w:cs="宋体"/>
                <w:sz w:val="24"/>
              </w:rPr>
              <w:t xml:space="preserve">分，每有一项内容缺失的扣</w:t>
            </w:r>
            <w:r>
              <w:rPr>
                <w:rFonts w:ascii="Times New Roman" w:hAnsi="Times New Roman" w:eastAsia="Arial" w:cs="Times New Roman"/>
                <w:sz w:val="24"/>
              </w:rPr>
              <w:t xml:space="preserve">1.5</w:t>
            </w:r>
            <w:r>
              <w:rPr>
                <w:rFonts w:hint="eastAsia" w:ascii="宋体" w:hAnsi="宋体" w:eastAsia="宋体" w:cs="宋体"/>
                <w:sz w:val="24"/>
              </w:rPr>
              <w:t xml:space="preserve">分；每有一项内容存在缺陷或不满足要求的扣</w:t>
            </w:r>
            <w:r>
              <w:rPr>
                <w:rFonts w:ascii="Times New Roman" w:hAnsi="Times New Roman" w:eastAsia="Arial" w:cs="Times New Roman"/>
                <w:sz w:val="24"/>
              </w:rPr>
              <w:t xml:space="preserve">1</w:t>
            </w:r>
            <w:r>
              <w:rPr>
                <w:rFonts w:hint="eastAsia" w:ascii="宋体" w:hAnsi="宋体" w:eastAsia="宋体" w:cs="宋体"/>
                <w:sz w:val="24"/>
              </w:rPr>
              <w:t xml:space="preserve">分，扣完为止。</w:t>
            </w:r>
            <w:r/>
          </w:p>
          <w:p>
            <w:pPr>
              <w:jc w:val="left"/>
              <w:spacing w:line="400" w:lineRule="exact"/>
              <w:rPr>
                <w:rFonts w:ascii="Times New Roman" w:hAnsi="Times New Roman" w:eastAsia="Arial" w:cs="Times New Roman"/>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ascii="Times New Roman" w:hAnsi="Times New Roman" w:eastAsia="Arial" w:cs="Times New Roman"/>
                <w:sz w:val="24"/>
              </w:rPr>
            </w:pPr>
            <w:r>
              <w:rPr>
                <w:rFonts w:ascii="Times New Roman" w:hAnsi="Times New Roman" w:eastAsia="Arial" w:cs="Times New Roman"/>
                <w:sz w:val="24"/>
              </w:rPr>
              <w:t xml:space="preserve">7.5</w:t>
            </w:r>
            <w:r/>
          </w:p>
        </w:tc>
      </w:tr>
      <w:tr>
        <w:trPr>
          <w:jc w:val="center"/>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spacing w:line="400" w:lineRule="exact"/>
              <w:widowControl/>
              <w:rPr>
                <w:rFonts w:ascii="Times New Roman" w:hAnsi="Times New Roman" w:eastAsia="Arial" w:cs="Times New Roman"/>
                <w:sz w:val="24"/>
                <w:szCs w:val="24"/>
              </w:rPr>
            </w:pPr>
            <w:r>
              <w:rPr>
                <w:rFonts w:ascii="Times New Roman" w:hAnsi="Times New Roman" w:eastAsia="Arial" w:cs="Times New Roman"/>
                <w:sz w:val="24"/>
                <w:szCs w:val="24"/>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ascii="Times New Roman" w:hAnsi="Times New Roman" w:eastAsia="Arial" w:cs="Times New Roman"/>
                <w:sz w:val="24"/>
                <w:szCs w:val="24"/>
              </w:rPr>
            </w:pPr>
            <w:r>
              <w:rPr>
                <w:rFonts w:ascii="Times New Roman" w:hAnsi="Times New Roman" w:eastAsia="Arial" w:cs="Times New Roman"/>
                <w:sz w:val="24"/>
                <w:szCs w:val="24"/>
              </w:rPr>
              <w:t xml:space="preserve">2.3</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ascii="Times New Roman" w:hAnsi="Times New Roman" w:eastAsia="Arial" w:cs="Times New Roman"/>
                <w:sz w:val="24"/>
              </w:rPr>
            </w:pPr>
            <w:r>
              <w:rPr>
                <w:rFonts w:hint="eastAsia" w:ascii="宋体" w:hAnsi="宋体" w:eastAsia="宋体" w:cs="宋体"/>
                <w:sz w:val="24"/>
              </w:rPr>
              <w:t xml:space="preserve">培训方案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spacing w:line="400" w:lineRule="exact"/>
              <w:rPr>
                <w:rFonts w:ascii="Times New Roman" w:hAnsi="Times New Roman" w:eastAsia="Arial" w:cs="Times New Roman"/>
                <w:sz w:val="24"/>
              </w:rPr>
            </w:pPr>
            <w:r>
              <w:rPr>
                <w:rFonts w:hint="eastAsia" w:ascii="宋体" w:hAnsi="宋体" w:eastAsia="宋体" w:cs="宋体"/>
                <w:sz w:val="24"/>
              </w:rPr>
              <w:t xml:space="preserve">投标人针对本项目提供培训方案，包括①培训内容、②培训人员安排、③培训周期，方案内容描述全面合理符合采购需求的得</w:t>
            </w:r>
            <w:r>
              <w:rPr>
                <w:rFonts w:ascii="Times New Roman" w:hAnsi="Times New Roman" w:eastAsia="Arial" w:cs="Times New Roman"/>
                <w:sz w:val="24"/>
              </w:rPr>
              <w:t xml:space="preserve">7.5</w:t>
            </w:r>
            <w:r>
              <w:rPr>
                <w:rFonts w:hint="eastAsia" w:ascii="宋体" w:hAnsi="宋体" w:eastAsia="宋体" w:cs="宋体"/>
                <w:sz w:val="24"/>
              </w:rPr>
              <w:t xml:space="preserve">分，每有一项内容缺失的扣</w:t>
            </w:r>
            <w:r>
              <w:rPr>
                <w:rFonts w:ascii="Times New Roman" w:hAnsi="Times New Roman" w:eastAsia="Arial" w:cs="Times New Roman"/>
                <w:sz w:val="24"/>
              </w:rPr>
              <w:t xml:space="preserve">2.5</w:t>
            </w:r>
            <w:r>
              <w:rPr>
                <w:rFonts w:hint="eastAsia" w:ascii="宋体" w:hAnsi="宋体" w:eastAsia="宋体" w:cs="宋体"/>
                <w:sz w:val="24"/>
              </w:rPr>
              <w:t xml:space="preserve">分；每有一项内容存在缺陷或不满足要求的扣</w:t>
            </w:r>
            <w:r>
              <w:rPr>
                <w:rFonts w:ascii="Times New Roman" w:hAnsi="Times New Roman" w:eastAsia="Arial" w:cs="Times New Roman"/>
                <w:sz w:val="24"/>
              </w:rPr>
              <w:t xml:space="preserve">1.5</w:t>
            </w:r>
            <w:r>
              <w:rPr>
                <w:rFonts w:hint="eastAsia" w:ascii="宋体" w:hAnsi="宋体" w:eastAsia="宋体" w:cs="宋体"/>
                <w:sz w:val="24"/>
              </w:rPr>
              <w:t xml:space="preserve">分，扣完为止。</w:t>
            </w:r>
            <w:r/>
          </w:p>
          <w:p>
            <w:pPr>
              <w:jc w:val="left"/>
              <w:spacing w:line="400" w:lineRule="exact"/>
              <w:rPr>
                <w:rFonts w:ascii="Times New Roman" w:hAnsi="Times New Roman" w:eastAsia="Arial" w:cs="Times New Roman"/>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ascii="Times New Roman" w:hAnsi="Times New Roman" w:eastAsia="Arial" w:cs="Times New Roman"/>
                <w:sz w:val="24"/>
              </w:rPr>
            </w:pPr>
            <w:r>
              <w:rPr>
                <w:rFonts w:ascii="Times New Roman" w:hAnsi="Times New Roman" w:eastAsia="Arial" w:cs="Times New Roman"/>
                <w:sz w:val="24"/>
              </w:rPr>
              <w:t xml:space="preserve">7.5</w:t>
            </w:r>
            <w:r/>
          </w:p>
        </w:tc>
      </w:tr>
      <w:tr>
        <w:trPr>
          <w:jc w:val="center"/>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spacing w:line="400" w:lineRule="exact"/>
              <w:widowControl/>
              <w:rPr>
                <w:rFonts w:ascii="Times New Roman" w:hAnsi="Times New Roman" w:eastAsia="Arial" w:cs="Times New Roman"/>
                <w:sz w:val="24"/>
                <w:szCs w:val="24"/>
              </w:rPr>
            </w:pPr>
            <w:r>
              <w:rPr>
                <w:rFonts w:ascii="Times New Roman" w:hAnsi="Times New Roman" w:eastAsia="Arial" w:cs="Times New Roman"/>
                <w:sz w:val="24"/>
                <w:szCs w:val="24"/>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ascii="Times New Roman" w:hAnsi="Times New Roman" w:eastAsia="Arial" w:cs="Times New Roman"/>
                <w:sz w:val="24"/>
                <w:szCs w:val="24"/>
              </w:rPr>
            </w:pPr>
            <w:r>
              <w:rPr>
                <w:rFonts w:ascii="Times New Roman" w:hAnsi="Times New Roman" w:eastAsia="Arial" w:cs="Times New Roman"/>
                <w:sz w:val="24"/>
                <w:szCs w:val="24"/>
              </w:rPr>
              <w:t xml:space="preserve">2.4</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ascii="Times New Roman" w:hAnsi="Times New Roman" w:eastAsia="Arial" w:cs="Times New Roman"/>
                <w:sz w:val="24"/>
              </w:rPr>
            </w:pPr>
            <w:r>
              <w:rPr>
                <w:rFonts w:hint="eastAsia" w:ascii="宋体" w:hAnsi="宋体" w:eastAsia="宋体" w:cs="宋体"/>
                <w:sz w:val="24"/>
              </w:rPr>
              <w:t xml:space="preserve">应急保障方案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spacing w:line="400" w:lineRule="exact"/>
              <w:rPr>
                <w:rFonts w:ascii="Times New Roman" w:hAnsi="Times New Roman" w:eastAsia="Arial" w:cs="Times New Roman"/>
                <w:sz w:val="24"/>
              </w:rPr>
            </w:pPr>
            <w:r>
              <w:rPr>
                <w:rFonts w:hint="eastAsia" w:ascii="宋体" w:hAnsi="宋体" w:eastAsia="宋体" w:cs="宋体"/>
                <w:sz w:val="24"/>
              </w:rPr>
              <w:t xml:space="preserve">投标人针对本项目提供应急保障方案，包括①应急响应时间及修复时间、②应急保障措施，方案内容描述全面合理符合采购需求的得</w:t>
            </w:r>
            <w:r>
              <w:rPr>
                <w:rFonts w:ascii="Times New Roman" w:hAnsi="Times New Roman" w:eastAsia="Arial" w:cs="Times New Roman"/>
                <w:sz w:val="24"/>
              </w:rPr>
              <w:t xml:space="preserve">4</w:t>
            </w:r>
            <w:r>
              <w:rPr>
                <w:rFonts w:hint="eastAsia" w:ascii="宋体" w:hAnsi="宋体" w:eastAsia="宋体" w:cs="宋体"/>
                <w:sz w:val="24"/>
              </w:rPr>
              <w:t xml:space="preserve">分，每有一项内容缺失的扣</w:t>
            </w:r>
            <w:r>
              <w:rPr>
                <w:rFonts w:ascii="Times New Roman" w:hAnsi="Times New Roman" w:eastAsia="Arial" w:cs="Times New Roman"/>
                <w:sz w:val="24"/>
              </w:rPr>
              <w:t xml:space="preserve">2</w:t>
            </w:r>
            <w:r>
              <w:rPr>
                <w:rFonts w:hint="eastAsia" w:ascii="宋体" w:hAnsi="宋体" w:eastAsia="宋体" w:cs="宋体"/>
                <w:sz w:val="24"/>
              </w:rPr>
              <w:t xml:space="preserve">分；每有一项内容存在缺陷或不满足要求的扣</w:t>
            </w:r>
            <w:r>
              <w:rPr>
                <w:rFonts w:ascii="Times New Roman" w:hAnsi="Times New Roman" w:eastAsia="Arial" w:cs="Times New Roman"/>
                <w:sz w:val="24"/>
              </w:rPr>
              <w:t xml:space="preserve">1</w:t>
            </w:r>
            <w:r>
              <w:rPr>
                <w:rFonts w:hint="eastAsia" w:ascii="宋体" w:hAnsi="宋体" w:eastAsia="宋体" w:cs="宋体"/>
                <w:sz w:val="24"/>
              </w:rPr>
              <w:t xml:space="preserve">分，扣完为止。</w:t>
            </w:r>
            <w:r/>
          </w:p>
          <w:p>
            <w:pPr>
              <w:jc w:val="left"/>
              <w:spacing w:line="400" w:lineRule="exact"/>
              <w:rPr>
                <w:rFonts w:ascii="Times New Roman" w:hAnsi="Times New Roman" w:eastAsia="Arial" w:cs="Times New Roman"/>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ascii="Times New Roman" w:hAnsi="Times New Roman" w:eastAsia="Arial" w:cs="Times New Roman"/>
                <w:sz w:val="24"/>
              </w:rPr>
            </w:pPr>
            <w:r>
              <w:rPr>
                <w:rFonts w:ascii="Times New Roman" w:hAnsi="Times New Roman" w:eastAsia="Arial" w:cs="Times New Roman"/>
                <w:sz w:val="24"/>
              </w:rPr>
              <w:t xml:space="preserve">4</w:t>
            </w:r>
            <w:r/>
          </w:p>
        </w:tc>
      </w:tr>
      <w:tr>
        <w:trPr>
          <w:jc w:val="center"/>
        </w:trPr>
        <w:tc>
          <w:tcPr>
            <w:tcBorders>
              <w:top w:val="single" w:color="auto" w:sz="6" w:space="0"/>
              <w:left w:val="single" w:color="auto" w:sz="8" w:space="0"/>
              <w:bottom w:val="single" w:color="auto" w:sz="6" w:space="0"/>
              <w:right w:val="single" w:color="auto" w:sz="6" w:space="0"/>
            </w:tcBorders>
            <w:tcW w:w="1720" w:type="dxa"/>
            <w:vAlign w:val="center"/>
            <w:vMerge w:val="continue"/>
            <w:textDirection w:val="lrTb"/>
            <w:noWrap w:val="false"/>
          </w:tcPr>
          <w:p>
            <w:pPr>
              <w:jc w:val="center"/>
              <w:spacing w:line="400" w:lineRule="exact"/>
              <w:widowControl/>
              <w:rPr>
                <w:rFonts w:ascii="Times New Roman" w:hAnsi="Times New Roman" w:eastAsia="Arial" w:cs="Times New Roman"/>
                <w:sz w:val="24"/>
                <w:szCs w:val="24"/>
              </w:rPr>
            </w:pPr>
            <w:r>
              <w:rPr>
                <w:rFonts w:ascii="Times New Roman" w:hAnsi="Times New Roman" w:eastAsia="Arial" w:cs="Times New Roman"/>
                <w:sz w:val="24"/>
                <w:szCs w:val="24"/>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ascii="Times New Roman" w:hAnsi="Times New Roman" w:eastAsia="Arial" w:cs="Times New Roman"/>
                <w:sz w:val="24"/>
                <w:szCs w:val="24"/>
              </w:rPr>
            </w:pPr>
            <w:r>
              <w:rPr>
                <w:rFonts w:ascii="Times New Roman" w:hAnsi="Times New Roman" w:eastAsia="Arial" w:cs="Times New Roman"/>
                <w:sz w:val="24"/>
                <w:szCs w:val="24"/>
              </w:rPr>
              <w:t xml:space="preserve">2.5</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ascii="Times New Roman" w:hAnsi="Times New Roman" w:eastAsia="Arial" w:cs="Times New Roman"/>
                <w:sz w:val="24"/>
              </w:rPr>
            </w:pPr>
            <w:r>
              <w:rPr>
                <w:rFonts w:hint="eastAsia" w:ascii="宋体" w:hAnsi="宋体" w:eastAsia="宋体" w:cs="宋体"/>
                <w:sz w:val="24"/>
              </w:rPr>
              <w:t xml:space="preserve">售后服务方案</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spacing w:line="400" w:lineRule="exact"/>
              <w:rPr>
                <w:rFonts w:ascii="Times New Roman" w:hAnsi="Times New Roman" w:eastAsia="Arial" w:cs="Times New Roman"/>
                <w:sz w:val="24"/>
              </w:rPr>
            </w:pPr>
            <w:r>
              <w:rPr>
                <w:rFonts w:hint="eastAsia" w:ascii="宋体" w:hAnsi="宋体" w:eastAsia="宋体" w:cs="宋体"/>
                <w:sz w:val="24"/>
              </w:rPr>
              <w:t xml:space="preserve">投标人针对本项目提供售后服务方案，包括①售后服务内容、②售后服务人员安排、③售后服务响应、④巡检制度、⑤备品备件、⑥质保期满后的服务内容及收费标准，方案内容描述全面合理符合采购需求的得</w:t>
            </w:r>
            <w:r>
              <w:rPr>
                <w:rFonts w:ascii="Times New Roman" w:hAnsi="Times New Roman" w:eastAsia="Arial" w:cs="Times New Roman"/>
                <w:sz w:val="24"/>
              </w:rPr>
              <w:t xml:space="preserve">6</w:t>
            </w:r>
            <w:r>
              <w:rPr>
                <w:rFonts w:hint="eastAsia" w:ascii="宋体" w:hAnsi="宋体" w:eastAsia="宋体" w:cs="宋体"/>
                <w:sz w:val="24"/>
              </w:rPr>
              <w:t xml:space="preserve">分，每有一项内容缺失的扣</w:t>
            </w:r>
            <w:r>
              <w:rPr>
                <w:rFonts w:ascii="Times New Roman" w:hAnsi="Times New Roman" w:eastAsia="Arial" w:cs="Times New Roman"/>
                <w:sz w:val="24"/>
              </w:rPr>
              <w:t xml:space="preserve">1</w:t>
            </w:r>
            <w:r>
              <w:rPr>
                <w:rFonts w:hint="eastAsia" w:ascii="宋体" w:hAnsi="宋体" w:eastAsia="宋体" w:cs="宋体"/>
                <w:sz w:val="24"/>
              </w:rPr>
              <w:t xml:space="preserve">分；每有一项内容存在缺陷或不满足要求的扣</w:t>
            </w:r>
            <w:r>
              <w:rPr>
                <w:rFonts w:ascii="Times New Roman" w:hAnsi="Times New Roman" w:eastAsia="Arial" w:cs="Times New Roman"/>
                <w:sz w:val="24"/>
              </w:rPr>
              <w:t xml:space="preserve">0.5</w:t>
            </w:r>
            <w:r>
              <w:rPr>
                <w:rFonts w:hint="eastAsia" w:ascii="宋体" w:hAnsi="宋体" w:eastAsia="宋体" w:cs="宋体"/>
                <w:sz w:val="24"/>
              </w:rPr>
              <w:t xml:space="preserve">分，扣完为止。</w:t>
            </w:r>
            <w:r/>
          </w:p>
          <w:p>
            <w:pPr>
              <w:jc w:val="left"/>
              <w:spacing w:line="400" w:lineRule="exact"/>
              <w:rPr>
                <w:rFonts w:ascii="Times New Roman" w:hAnsi="Times New Roman" w:eastAsia="Arial" w:cs="Times New Roman"/>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ascii="Times New Roman" w:hAnsi="Times New Roman" w:eastAsia="Arial" w:cs="Times New Roman"/>
                <w:sz w:val="24"/>
              </w:rPr>
            </w:pPr>
            <w:r>
              <w:rPr>
                <w:rFonts w:ascii="Times New Roman" w:hAnsi="Times New Roman" w:eastAsia="Arial" w:cs="Times New Roman"/>
                <w:sz w:val="24"/>
              </w:rPr>
              <w:t xml:space="preserve">6</w:t>
            </w:r>
            <w:r/>
          </w:p>
        </w:tc>
      </w:tr>
      <w:tr>
        <w:trPr>
          <w:jc w:val="center"/>
        </w:trPr>
        <w:tc>
          <w:tcPr>
            <w:tcBorders>
              <w:top w:val="single" w:color="auto" w:sz="6" w:space="0"/>
              <w:left w:val="single" w:color="auto" w:sz="8" w:space="0"/>
              <w:right w:val="single" w:color="auto" w:sz="6" w:space="0"/>
            </w:tcBorders>
            <w:tcW w:w="1720" w:type="dxa"/>
            <w:vAlign w:val="center"/>
            <w:textDirection w:val="lrTb"/>
            <w:noWrap w:val="false"/>
          </w:tcPr>
          <w:p>
            <w:pPr>
              <w:jc w:val="center"/>
              <w:spacing w:line="400" w:lineRule="exact"/>
              <w:rPr>
                <w:rFonts w:ascii="Times New Roman" w:hAnsi="Times New Roman" w:eastAsia="Arial" w:cs="Times New Roman"/>
                <w:sz w:val="24"/>
                <w:szCs w:val="24"/>
              </w:rPr>
            </w:pPr>
            <w:r>
              <w:rPr>
                <w:rFonts w:hint="eastAsia" w:ascii="宋体" w:hAnsi="宋体" w:eastAsia="宋体" w:cs="宋体"/>
                <w:sz w:val="24"/>
                <w:szCs w:val="24"/>
              </w:rPr>
              <w:t xml:space="preserve">三、商务部分</w:t>
            </w:r>
            <w:r/>
          </w:p>
          <w:p>
            <w:pPr>
              <w:jc w:val="center"/>
              <w:spacing w:line="400" w:lineRule="exact"/>
              <w:rPr>
                <w:rFonts w:ascii="Times New Roman" w:hAnsi="Times New Roman" w:eastAsia="Arial" w:cs="Times New Roman"/>
                <w:sz w:val="24"/>
                <w:szCs w:val="24"/>
              </w:rPr>
            </w:pPr>
            <w:r>
              <w:rPr>
                <w:rFonts w:hint="eastAsia" w:ascii="宋体" w:hAnsi="宋体" w:eastAsia="宋体" w:cs="宋体"/>
                <w:sz w:val="24"/>
                <w:szCs w:val="24"/>
              </w:rPr>
              <w:t xml:space="preserve">（</w:t>
            </w:r>
            <w:r>
              <w:rPr>
                <w:rFonts w:ascii="Times New Roman" w:hAnsi="Times New Roman" w:eastAsia="Arial" w:cs="Times New Roman"/>
                <w:sz w:val="24"/>
                <w:szCs w:val="24"/>
              </w:rPr>
              <w:t xml:space="preserve">5</w:t>
            </w:r>
            <w:r>
              <w:rPr>
                <w:rFonts w:hint="eastAsia" w:ascii="宋体" w:hAnsi="宋体" w:eastAsia="宋体" w:cs="宋体"/>
                <w:sz w:val="24"/>
                <w:szCs w:val="24"/>
              </w:rPr>
              <w:t xml:space="preserve">分）</w:t>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center"/>
              <w:spacing w:line="400" w:lineRule="exact"/>
              <w:rPr>
                <w:rFonts w:ascii="Times New Roman" w:hAnsi="Times New Roman" w:eastAsia="Arial" w:cs="Times New Roman"/>
                <w:sz w:val="24"/>
                <w:szCs w:val="24"/>
              </w:rPr>
            </w:pPr>
            <w:r>
              <w:rPr>
                <w:rFonts w:ascii="Times New Roman" w:hAnsi="Times New Roman" w:eastAsia="Arial" w:cs="Times New Roman"/>
                <w:sz w:val="24"/>
                <w:szCs w:val="24"/>
              </w:rPr>
              <w:t xml:space="preserve">3.1</w:t>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jc w:val="center"/>
              <w:spacing w:line="400" w:lineRule="exact"/>
              <w:rPr>
                <w:rFonts w:ascii="Times New Roman" w:hAnsi="Times New Roman" w:eastAsia="Arial" w:cs="Times New Roman"/>
                <w:sz w:val="24"/>
              </w:rPr>
            </w:pPr>
            <w:r>
              <w:rPr>
                <w:rFonts w:hint="eastAsia" w:ascii="宋体" w:hAnsi="宋体" w:eastAsia="宋体" w:cs="宋体"/>
                <w:sz w:val="24"/>
              </w:rPr>
              <w:t xml:space="preserve">业绩</w:t>
            </w:r>
            <w:r/>
          </w:p>
        </w:tc>
        <w:tc>
          <w:tcPr>
            <w:tcBorders>
              <w:top w:val="single" w:color="auto" w:sz="6" w:space="0"/>
              <w:left w:val="single" w:color="auto" w:sz="6" w:space="0"/>
              <w:bottom w:val="single" w:color="auto" w:sz="6" w:space="0"/>
              <w:right w:val="single" w:color="auto" w:sz="6" w:space="0"/>
            </w:tcBorders>
            <w:tcW w:w="5482" w:type="dxa"/>
            <w:vAlign w:val="center"/>
            <w:textDirection w:val="lrTb"/>
            <w:noWrap w:val="false"/>
          </w:tcPr>
          <w:p>
            <w:pPr>
              <w:jc w:val="left"/>
              <w:spacing w:line="400" w:lineRule="exact"/>
              <w:rPr>
                <w:rFonts w:ascii="Times New Roman" w:hAnsi="Times New Roman" w:eastAsia="Arial" w:cs="Times New Roman"/>
                <w:sz w:val="24"/>
              </w:rPr>
            </w:pPr>
            <w:r>
              <w:rPr>
                <w:rFonts w:ascii="Times New Roman" w:hAnsi="Times New Roman" w:eastAsia="Arial" w:cs="Times New Roman"/>
                <w:sz w:val="24"/>
              </w:rPr>
              <w:t xml:space="preserve">202</w:t>
            </w:r>
            <w:r>
              <w:rPr>
                <w:rFonts w:ascii="Times New Roman" w:hAnsi="Times New Roman" w:eastAsia="宋体" w:cs="Times New Roman"/>
                <w:sz w:val="24"/>
              </w:rPr>
              <w:t xml:space="preserve">3</w:t>
            </w:r>
            <w:r>
              <w:rPr>
                <w:rFonts w:hint="eastAsia" w:ascii="宋体" w:hAnsi="宋体" w:eastAsia="宋体" w:cs="宋体"/>
                <w:sz w:val="24"/>
              </w:rPr>
              <w:t xml:space="preserve">年</w:t>
            </w:r>
            <w:r>
              <w:rPr>
                <w:rFonts w:ascii="Times New Roman" w:hAnsi="Times New Roman" w:eastAsia="Arial" w:cs="Times New Roman"/>
                <w:sz w:val="24"/>
              </w:rPr>
              <w:t xml:space="preserve">1</w:t>
            </w:r>
            <w:r>
              <w:rPr>
                <w:rFonts w:hint="eastAsia" w:ascii="宋体" w:hAnsi="宋体" w:eastAsia="宋体" w:cs="宋体"/>
                <w:sz w:val="24"/>
              </w:rPr>
              <w:t xml:space="preserve">月</w:t>
            </w:r>
            <w:r>
              <w:rPr>
                <w:rFonts w:ascii="Times New Roman" w:hAnsi="Times New Roman" w:eastAsia="Arial" w:cs="Times New Roman"/>
                <w:sz w:val="24"/>
              </w:rPr>
              <w:t xml:space="preserve">1</w:t>
            </w:r>
            <w:r>
              <w:rPr>
                <w:rFonts w:hint="eastAsia" w:ascii="宋体" w:hAnsi="宋体" w:eastAsia="宋体" w:cs="宋体"/>
                <w:sz w:val="24"/>
              </w:rPr>
              <w:t xml:space="preserve">日以来（以合同签订时间为准），投标人具有与本项目同类项目的销售业绩的，有一个得</w:t>
            </w:r>
            <w:r>
              <w:rPr>
                <w:rFonts w:ascii="Times New Roman" w:hAnsi="Times New Roman" w:eastAsia="Arial" w:cs="Times New Roman"/>
                <w:sz w:val="24"/>
              </w:rPr>
              <w:t xml:space="preserve">1</w:t>
            </w:r>
            <w:r>
              <w:rPr>
                <w:rFonts w:hint="eastAsia" w:ascii="宋体" w:hAnsi="宋体" w:eastAsia="宋体" w:cs="宋体"/>
                <w:sz w:val="24"/>
              </w:rPr>
              <w:t xml:space="preserve">分，最高得</w:t>
            </w:r>
            <w:r>
              <w:rPr>
                <w:rFonts w:ascii="Times New Roman" w:hAnsi="Times New Roman" w:eastAsia="Arial" w:cs="Times New Roman"/>
                <w:sz w:val="24"/>
              </w:rPr>
              <w:t xml:space="preserve">5</w:t>
            </w:r>
            <w:r>
              <w:rPr>
                <w:rFonts w:hint="eastAsia" w:ascii="宋体" w:hAnsi="宋体" w:eastAsia="宋体" w:cs="宋体"/>
                <w:sz w:val="24"/>
              </w:rPr>
              <w:t xml:space="preserve">分。【如有多个同型号设备同一个采购人的业绩仅作同一个业绩计算，须</w:t>
            </w:r>
            <w:r>
              <w:rPr>
                <w:rFonts w:hint="eastAsia" w:ascii="宋体" w:hAnsi="宋体" w:eastAsia="宋体" w:cs="宋体"/>
                <w:b/>
                <w:sz w:val="24"/>
              </w:rPr>
              <w:t xml:space="preserve">同时提供</w:t>
            </w:r>
            <w:r>
              <w:rPr>
                <w:rFonts w:hint="eastAsia" w:ascii="宋体" w:hAnsi="宋体" w:eastAsia="宋体" w:cs="宋体"/>
                <w:sz w:val="24"/>
              </w:rPr>
              <w:t xml:space="preserve">合同、发票及付款凭证（确实无付款凭证的，提供采购人验收签字的有效资料）扫描件】</w:t>
            </w:r>
            <w:r/>
          </w:p>
        </w:tc>
        <w:tc>
          <w:tcPr>
            <w:tcBorders>
              <w:top w:val="single" w:color="auto" w:sz="6" w:space="0"/>
              <w:left w:val="single" w:color="auto" w:sz="6" w:space="0"/>
              <w:bottom w:val="single" w:color="auto" w:sz="6" w:space="0"/>
              <w:right w:val="single" w:color="auto" w:sz="8" w:space="0"/>
            </w:tcBorders>
            <w:tcW w:w="792" w:type="dxa"/>
            <w:vAlign w:val="center"/>
            <w:textDirection w:val="lrTb"/>
            <w:noWrap w:val="false"/>
          </w:tcPr>
          <w:p>
            <w:pPr>
              <w:jc w:val="center"/>
              <w:spacing w:line="400" w:lineRule="exact"/>
              <w:rPr>
                <w:rFonts w:ascii="Times New Roman" w:hAnsi="Times New Roman" w:eastAsia="Arial" w:cs="Times New Roman"/>
                <w:sz w:val="24"/>
              </w:rPr>
            </w:pPr>
            <w:r>
              <w:rPr>
                <w:rFonts w:ascii="Times New Roman" w:hAnsi="Times New Roman" w:eastAsia="Arial" w:cs="Times New Roman"/>
                <w:sz w:val="24"/>
              </w:rPr>
              <w:t xml:space="preserve">5</w:t>
            </w:r>
            <w:bookmarkEnd w:id="12"/>
            <w:r/>
            <w:r/>
          </w:p>
        </w:tc>
      </w:tr>
    </w:tbl>
    <w:p>
      <w:pPr>
        <w:sectPr>
          <w:footnotePr/>
          <w:endnotePr/>
          <w:type w:val="nextPage"/>
          <w:pgSz w:w="11906" w:h="16838" w:orient="portrait"/>
          <w:pgMar w:top="1247" w:right="1247" w:bottom="1247" w:left="1247" w:header="680" w:footer="992" w:gutter="0"/>
          <w:cols w:num="1" w:sep="0" w:space="720" w:equalWidth="1"/>
          <w:docGrid w:linePitch="360"/>
        </w:sectPr>
      </w:pPr>
      <w:r/>
      <w:bookmarkStart w:id="17" w:name="_Toc213847317"/>
      <w:r/>
      <w:r/>
    </w:p>
    <w:p>
      <w:r/>
      <w:r/>
    </w:p>
    <w:p>
      <w:pPr>
        <w:pStyle w:val="888"/>
      </w:pPr>
      <w:r>
        <w:rPr>
          <w:rFonts w:hint="eastAsia"/>
        </w:rPr>
        <w:t xml:space="preserve">第五章　合同书（格式）</w:t>
      </w:r>
      <w:bookmarkEnd w:id="17"/>
      <w:r/>
      <w:r/>
    </w:p>
    <w:p>
      <w:pPr>
        <w:spacing w:line="400" w:lineRule="exact"/>
        <w:rPr>
          <w:rFonts w:hint="eastAsia" w:ascii="宋体" w:hAnsi="宋体" w:eastAsia="宋体" w:cs="Times New Roman"/>
          <w:bCs/>
          <w:sz w:val="24"/>
          <w:szCs w:val="24"/>
        </w:rPr>
      </w:pPr>
      <w:r/>
      <w:bookmarkStart w:id="18" w:name="_Toc251268363"/>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hint="eastAsia" w:ascii="宋体" w:hAnsi="宋体" w:eastAsia="宋体" w:cs="Times New Roman"/>
          <w:b/>
          <w:sz w:val="28"/>
          <w:szCs w:val="28"/>
          <w:lang w:val="de-DE"/>
        </w:rPr>
      </w:pPr>
      <w:r>
        <w:rPr>
          <w:rFonts w:hint="eastAsia" w:ascii="宋体" w:hAnsi="宋体" w:eastAsia="宋体" w:cs="Times New Roman"/>
          <w:b/>
          <w:sz w:val="28"/>
          <w:szCs w:val="28"/>
          <w:lang w:val="de-DE"/>
        </w:rPr>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hint="eastAsia"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hint="eastAsia"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hint="eastAsia"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hint="eastAsia"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hint="eastAsia"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hint="eastAsia"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hint="eastAsia"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hint="eastAsia"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hint="eastAsia"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hint="eastAsia"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hint="eastAsia"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hint="eastAsia"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hint="eastAsia"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hint="eastAsia"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866"/>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hint="eastAsia"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jc w:val="right"/>
              <w:spacing w:line="360" w:lineRule="exact"/>
              <w:rPr>
                <w:rFonts w:hint="eastAsia"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8"/>
            <w:r/>
            <w:r/>
          </w:p>
        </w:tc>
      </w:tr>
    </w:tbl>
    <w:p>
      <w:pPr>
        <w:pStyle w:val="888"/>
        <w:sectPr>
          <w:footnotePr/>
          <w:endnotePr/>
          <w:type w:val="nextPage"/>
          <w:pgSz w:w="11906" w:h="16838" w:orient="portrait"/>
          <w:pgMar w:top="1247" w:right="1247" w:bottom="1247" w:left="1247" w:header="680" w:footer="992" w:gutter="0"/>
          <w:cols w:num="1" w:sep="0" w:space="720" w:equalWidth="1"/>
          <w:docGrid w:linePitch="360"/>
        </w:sectPr>
      </w:pPr>
      <w:r/>
      <w:r/>
    </w:p>
    <w:p>
      <w:pPr>
        <w:pStyle w:val="888"/>
      </w:pPr>
      <w:r/>
      <w:r/>
    </w:p>
    <w:p>
      <w:pPr>
        <w:pStyle w:val="888"/>
      </w:pPr>
      <w:r/>
      <w:bookmarkStart w:id="19" w:name="_Toc213847318"/>
      <w:r>
        <w:rPr>
          <w:rFonts w:hint="eastAsia"/>
        </w:rPr>
        <w:t xml:space="preserve">第六章　投标文件的组成和格式</w:t>
      </w:r>
      <w:bookmarkEnd w:id="19"/>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ind w:left="2245" w:hanging="1350"/>
        <w:spacing w:line="600" w:lineRule="exact"/>
        <w:rPr>
          <w:rFonts w:hint="eastAsia"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hint="eastAsia"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hint="eastAsia"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hint="eastAsia"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hint="eastAsia"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30"/>
          <w:szCs w:val="24"/>
        </w:rPr>
      </w:r>
      <w:r/>
    </w:p>
    <w:p>
      <w:pPr>
        <w:jc w:val="center"/>
        <w:spacing w:line="400" w:lineRule="exact"/>
        <w:rPr>
          <w:rFonts w:hint="eastAsia" w:ascii="黑体" w:hAnsi="宋体" w:eastAsia="黑体" w:cs="Times New Roman"/>
          <w:bCs/>
          <w:sz w:val="28"/>
          <w:szCs w:val="28"/>
        </w:rPr>
      </w:pPr>
      <w:r>
        <w:rPr>
          <w:rFonts w:hint="eastAsia" w:ascii="黑体" w:hAnsi="宋体" w:eastAsia="黑体" w:cs="Times New Roman"/>
          <w:bCs/>
          <w:sz w:val="28"/>
          <w:szCs w:val="28"/>
        </w:rPr>
      </w:r>
      <w:r/>
    </w:p>
    <w:p>
      <w:pPr>
        <w:jc w:val="center"/>
        <w:spacing w:line="400" w:lineRule="exact"/>
        <w:rPr>
          <w:rFonts w:hint="eastAsia"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hint="eastAsia" w:ascii="黑体" w:hAnsi="黑体" w:eastAsia="黑体" w:cs="Times New Roman"/>
          <w:sz w:val="28"/>
          <w:szCs w:val="28"/>
        </w:rPr>
      </w:pPr>
      <w:r/>
      <w:bookmarkStart w:id="20" w:name="_Toc222799676"/>
      <w:r/>
      <w:bookmarkStart w:id="21" w:name="_Toc194739809"/>
      <w:r/>
      <w:r/>
    </w:p>
    <w:p>
      <w:pPr>
        <w:jc w:val="center"/>
        <w:spacing w:line="400" w:lineRule="exact"/>
        <w:rPr>
          <w:rFonts w:hint="eastAsia"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hint="eastAsia" w:ascii="黑体" w:hAnsi="黑体" w:eastAsia="黑体" w:cs="Times New Roman"/>
          <w:bCs/>
          <w:sz w:val="28"/>
          <w:szCs w:val="28"/>
          <w:u w:val="single"/>
        </w:rPr>
      </w:pPr>
      <w:r>
        <w:rPr>
          <w:rFonts w:hint="eastAsia" w:ascii="黑体" w:hAnsi="黑体" w:eastAsia="黑体" w:cs="Times New Roman"/>
          <w:bCs/>
          <w:sz w:val="28"/>
          <w:szCs w:val="28"/>
          <w:u w:val="single"/>
        </w:rPr>
      </w:r>
      <w:r/>
    </w:p>
    <w:tbl>
      <w:tblPr>
        <w:tblStyle w:val="86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JSZC-320281-JZCG-G2026-0041</w:t>
            </w:r>
            <w:r/>
          </w:p>
        </w:tc>
      </w:tr>
      <w:tr>
        <w:trPr>
          <w:jc w:val="center"/>
          <w:trHeight w:val="776"/>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江阴市人民医院监护仪</w:t>
            </w:r>
            <w:r>
              <w:rPr>
                <w:rFonts w:hint="eastAsia" w:ascii="宋体" w:hAnsi="宋体" w:eastAsia="宋体" w:cs="Times New Roman"/>
                <w:sz w:val="24"/>
                <w:szCs w:val="24"/>
              </w:rPr>
              <w:t xml:space="preserve">（江阴市紧急医学救援中心用）</w:t>
            </w:r>
            <w:r>
              <w:rPr>
                <w:rFonts w:hint="eastAsia" w:ascii="宋体" w:hAnsi="宋体" w:eastAsia="宋体" w:cs="宋体"/>
                <w:sz w:val="24"/>
                <w:szCs w:val="24"/>
              </w:rPr>
              <w:t xml:space="preserve">采购项目（采购包1）</w:t>
            </w:r>
            <w:r/>
          </w:p>
        </w:tc>
      </w:tr>
      <w:tr>
        <w:trPr>
          <w:jc w:val="center"/>
          <w:trHeight w:val="1678"/>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hint="eastAsia" w:ascii="宋体" w:hAnsi="宋体" w:eastAsia="宋体" w:cs="Times New Roman"/>
          <w:b/>
          <w:sz w:val="24"/>
          <w:szCs w:val="24"/>
        </w:rPr>
      </w:pPr>
      <w:r/>
      <w:bookmarkStart w:id="22" w:name="_Toc145474400"/>
      <w:r/>
      <w:bookmarkStart w:id="23" w:name="_Toc158691780"/>
      <w:r/>
      <w:bookmarkStart w:id="24" w:name="_Toc194386107"/>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bookmarkEnd w:id="22"/>
      <w:r/>
      <w:bookmarkEnd w:id="23"/>
      <w:r/>
      <w:bookmarkEnd w:id="24"/>
      <w:r/>
      <w:r/>
    </w:p>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jc w:val="center"/>
        <w:spacing w:line="400" w:lineRule="exact"/>
        <w:rPr>
          <w:rFonts w:hint="eastAsia" w:ascii="黑体" w:hAnsi="黑体" w:eastAsia="黑体" w:cs="Times New Roman"/>
          <w:bCs/>
          <w:sz w:val="28"/>
          <w:szCs w:val="28"/>
          <w:u w:val="single"/>
        </w:rPr>
      </w:pPr>
      <w:r>
        <w:rPr>
          <w:rFonts w:hint="eastAsia" w:ascii="黑体" w:hAnsi="黑体" w:eastAsia="黑体" w:cs="Times New Roman"/>
          <w:sz w:val="28"/>
          <w:szCs w:val="28"/>
        </w:rPr>
        <w:t xml:space="preserve">开标一览表</w:t>
      </w:r>
      <w:r/>
    </w:p>
    <w:p>
      <w:pPr>
        <w:jc w:val="center"/>
        <w:spacing w:line="400" w:lineRule="exact"/>
        <w:rPr>
          <w:rFonts w:hint="eastAsia" w:ascii="黑体" w:hAnsi="黑体" w:eastAsia="黑体" w:cs="Times New Roman"/>
          <w:bCs/>
          <w:sz w:val="28"/>
          <w:szCs w:val="28"/>
          <w:u w:val="single"/>
        </w:rPr>
      </w:pPr>
      <w:r>
        <w:rPr>
          <w:rFonts w:hint="eastAsia" w:ascii="黑体" w:hAnsi="黑体" w:eastAsia="黑体" w:cs="Times New Roman"/>
          <w:bCs/>
          <w:sz w:val="28"/>
          <w:szCs w:val="28"/>
          <w:u w:val="single"/>
        </w:rPr>
      </w:r>
      <w:r/>
    </w:p>
    <w:tbl>
      <w:tblPr>
        <w:tblStyle w:val="86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JSZC-320281-JZCG-G2026-0041</w:t>
            </w:r>
            <w:r/>
          </w:p>
        </w:tc>
      </w:tr>
      <w:tr>
        <w:trPr>
          <w:jc w:val="center"/>
          <w:trHeight w:val="776"/>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江阴市人民医院监护仪</w:t>
            </w:r>
            <w:r>
              <w:rPr>
                <w:rFonts w:hint="eastAsia" w:ascii="宋体" w:hAnsi="宋体" w:eastAsia="宋体" w:cs="Times New Roman"/>
                <w:sz w:val="24"/>
                <w:szCs w:val="24"/>
              </w:rPr>
              <w:t xml:space="preserve">（江阴市紧急医学救援中心用）</w:t>
            </w:r>
            <w:r>
              <w:rPr>
                <w:rFonts w:hint="eastAsia" w:ascii="宋体" w:hAnsi="宋体" w:eastAsia="宋体" w:cs="宋体"/>
                <w:sz w:val="24"/>
                <w:szCs w:val="24"/>
              </w:rPr>
              <w:t xml:space="preserve">采购项目（采购包2）</w:t>
            </w:r>
            <w:r/>
          </w:p>
        </w:tc>
      </w:tr>
      <w:tr>
        <w:trPr>
          <w:jc w:val="center"/>
          <w:trHeight w:val="1678"/>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jc w:val="center"/>
        <w:spacing w:line="400" w:lineRule="exact"/>
        <w:rPr>
          <w:rFonts w:hint="eastAsia"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r>
      <w:bookmarkEnd w:id="20"/>
      <w:r/>
      <w:bookmarkEnd w:id="21"/>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hint="eastAsia" w:ascii="宋体" w:hAnsi="宋体"/>
          <w:szCs w:val="21"/>
        </w:rPr>
      </w:pPr>
      <w:r>
        <w:rPr>
          <w:rFonts w:hint="eastAsia" w:ascii="宋体" w:hAnsi="宋体"/>
          <w:szCs w:val="21"/>
        </w:rPr>
      </w:r>
      <w:r/>
    </w:p>
    <w:p>
      <w:pPr>
        <w:jc w:val="right"/>
        <w:spacing w:line="400" w:lineRule="exact"/>
        <w:rPr>
          <w:rFonts w:hint="eastAsia" w:ascii="宋体" w:hAnsi="宋体" w:eastAsia="宋体" w:cs="Times New Roman"/>
          <w:szCs w:val="21"/>
        </w:rPr>
      </w:pPr>
      <w:r>
        <w:rPr>
          <w:rFonts w:hint="eastAsia" w:ascii="宋体" w:hAnsi="宋体" w:eastAsia="宋体" w:cs="Times New Roman"/>
          <w:szCs w:val="21"/>
        </w:rPr>
        <w:t xml:space="preserve">单位：元（人民币）</w:t>
      </w:r>
      <w:r/>
    </w:p>
    <w:tbl>
      <w:tblPr>
        <w:tblStyle w:val="866"/>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9"/>
        <w:gridCol w:w="689"/>
        <w:gridCol w:w="690"/>
        <w:gridCol w:w="1100"/>
        <w:gridCol w:w="1005"/>
        <w:gridCol w:w="851"/>
        <w:gridCol w:w="818"/>
        <w:gridCol w:w="689"/>
        <w:gridCol w:w="895"/>
        <w:gridCol w:w="1101"/>
        <w:gridCol w:w="110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hint="eastAsia" w:ascii="宋体" w:hAnsi="宋体" w:eastAsia="宋体" w:cs="Times New Roman"/>
          <w:szCs w:val="21"/>
        </w:rPr>
      </w:pPr>
      <w:r>
        <w:rPr>
          <w:rFonts w:hint="eastAsia" w:ascii="宋体" w:hAnsi="宋体" w:eastAsia="宋体" w:cs="Times New Roman"/>
          <w:szCs w:val="21"/>
        </w:rPr>
      </w:r>
      <w:r/>
    </w:p>
    <w:p>
      <w:pPr>
        <w:spacing w:line="360" w:lineRule="exact"/>
        <w:rPr>
          <w:rFonts w:hint="eastAsia"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4、表格不够可另接。</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360" w:lineRule="exact"/>
        <w:rPr>
          <w:rFonts w:hint="eastAsia"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86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86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360" w:lineRule="exact"/>
        <w:rPr>
          <w:rFonts w:hint="eastAsia" w:ascii="宋体" w:hAnsi="宋体" w:eastAsia="宋体" w:cs="Times New Roman"/>
          <w:szCs w:val="21"/>
        </w:rPr>
      </w:pPr>
      <w:r>
        <w:rPr>
          <w:rFonts w:hint="eastAsia" w:ascii="宋体" w:hAnsi="宋体" w:eastAsia="宋体" w:cs="Times New Roman"/>
          <w:szCs w:val="21"/>
        </w:rPr>
      </w:r>
      <w:r/>
    </w:p>
    <w:p>
      <w:pPr>
        <w:spacing w:line="360" w:lineRule="exact"/>
        <w:rPr>
          <w:rFonts w:hint="eastAsia"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tbl>
      <w:tblPr>
        <w:tblStyle w:val="866"/>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2843" w:type="dxa"/>
            <w:vAlign w:val="center"/>
            <w:textDirection w:val="lrTb"/>
            <w:noWrap w:val="false"/>
          </w:tcPr>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right="1470"/>
        <w:rPr>
          <w:rFonts w:hint="eastAsia" w:ascii="宋体" w:hAnsi="宋体" w:eastAsia="宋体" w:cs="Times New Roman"/>
          <w:sz w:val="24"/>
          <w:szCs w:val="24"/>
        </w:rPr>
      </w:pPr>
      <w:r>
        <w:rPr>
          <w:rFonts w:hint="eastAsia" w:ascii="宋体" w:hAnsi="宋体" w:eastAsia="宋体" w:cs="Times New Roman"/>
          <w:sz w:val="24"/>
          <w:szCs w:val="24"/>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right="480" w:firstLine="3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right="480"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right="1470"/>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866"/>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我单位未被列入“信用中国”网站列入失信被执行人、重大税收违法失信主体、政府采购严重违法失信行为记录名单。</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hint="eastAsia" w:ascii="宋体" w:hAnsi="宋体" w:eastAsia="宋体" w:cs="Times New Roman"/>
          <w:b/>
          <w:bCs/>
          <w:sz w:val="24"/>
          <w:szCs w:val="24"/>
        </w:rPr>
      </w:pPr>
      <w:r>
        <w:rPr>
          <w:rFonts w:hint="eastAsia" w:ascii="宋体" w:hAnsi="宋体" w:eastAsia="宋体" w:cs="Times New Roman"/>
          <w:b/>
          <w:bCs/>
          <w:sz w:val="24"/>
          <w:szCs w:val="24"/>
        </w:rPr>
      </w:r>
      <w:r/>
    </w:p>
    <w:p>
      <w:pPr>
        <w:rPr>
          <w:rFonts w:hint="eastAsia"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hint="eastAsia"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hint="eastAsia"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hint="eastAsia"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一、中小企业声明函（货物类项目）</w:t>
      </w:r>
      <w:r/>
    </w:p>
    <w:p>
      <w:pPr>
        <w:ind w:firstLine="482"/>
        <w:jc w:val="center"/>
        <w:spacing w:line="400" w:lineRule="exact"/>
        <w:rPr>
          <w:rFonts w:hint="eastAsia"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hint="eastAsia" w:ascii="宋体" w:hAnsi="宋体" w:eastAsia="宋体" w:cs="宋体"/>
          <w:sz w:val="28"/>
          <w:szCs w:val="28"/>
        </w:rPr>
      </w:pPr>
      <w:r>
        <w:rPr>
          <w:rFonts w:hint="eastAsia" w:ascii="宋体" w:hAnsi="宋体" w:eastAsia="宋体" w:cs="宋体"/>
          <w:sz w:val="28"/>
          <w:szCs w:val="28"/>
        </w:rPr>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180"/>
        <w:jc w:val="righ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color w:val="000000"/>
          <w:sz w:val="24"/>
          <w:szCs w:val="21"/>
        </w:rPr>
        <w:t xml:space="preserve">___年____月____日</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hint="eastAsia"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jc w:val="center"/>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hint="eastAsia"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hint="eastAsia"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hint="eastAsia"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ind w:firstLine="480"/>
        <w:jc w:val="left"/>
        <w:spacing w:line="400" w:lineRule="exact"/>
        <w:rPr>
          <w:rFonts w:hint="eastAsia"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480"/>
        <w:jc w:val="righ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公司（单位）名称（加盖CA电子公章）：</w:t>
      </w:r>
      <w:r/>
    </w:p>
    <w:p>
      <w:pPr>
        <w:ind w:right="960"/>
        <w:jc w:val="right"/>
        <w:spacing w:before="30" w:after="30" w:line="360" w:lineRule="auto"/>
        <w:widowControl/>
        <w:rPr>
          <w:rFonts w:hint="eastAsia" w:ascii="宋体" w:hAnsi="宋体" w:eastAsia="宋体" w:cs="宋体"/>
          <w:color w:val="000000"/>
          <w:sz w:val="24"/>
          <w:szCs w:val="24"/>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before="30" w:after="30" w:line="0" w:lineRule="atLeas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jc w:val="left"/>
        <w:spacing w:before="30" w:after="30"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Batang">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金梅簡體中黑字形">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rPr/>
    </w:sdtPr>
    <w:sdtContent>
      <w:p>
        <w:pPr>
          <w:pStyle w:val="880"/>
          <w:jc w:val="center"/>
        </w:pPr>
        <w:r>
          <w:fldChar w:fldCharType="begin"/>
        </w:r>
        <w:r>
          <w:instrText xml:space="preserve">PAGE   \* MERGEFORMAT</w:instrText>
        </w:r>
        <w:r>
          <w:fldChar w:fldCharType="separate"/>
        </w:r>
        <w:r>
          <w:rPr>
            <w:lang w:val="zh-CN"/>
          </w:rPr>
          <w:t xml:space="preserve">-</w:t>
        </w:r>
        <w:r>
          <w:t xml:space="preserve"> 32 -</w:t>
        </w:r>
        <w:r>
          <w:fldChar w:fldCharType="end"/>
        </w:r>
        <w:r/>
      </w:p>
    </w:sdtContent>
  </w:sdt>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94"/>
      </w:rPr>
      <w:framePr w:wrap="around" w:vAnchor="text" w:hAnchor="margin" w:xAlign="center" w:y="1"/>
    </w:pPr>
    <w:r>
      <w:fldChar w:fldCharType="begin"/>
    </w:r>
    <w:r>
      <w:rPr>
        <w:rStyle w:val="894"/>
      </w:rPr>
      <w:instrText xml:space="preserve">PAGE  </w:instrText>
    </w:r>
    <w:r>
      <w:fldChar w:fldCharType="separate"/>
    </w:r>
    <w:r>
      <w:rPr>
        <w:rStyle w:val="894"/>
      </w:rPr>
      <w:t xml:space="preserve">1</w:t>
    </w:r>
    <w:r>
      <w:fldChar w:fldCharType="end"/>
    </w:r>
    <w:r/>
  </w:p>
  <w:p>
    <w:pPr>
      <w:pStyle w:val="88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JSZC-320281-JZCG-G2026-0041 江阴市人民医院监护仪（江阴市紧急医学救援中心用）采购项目               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pPr>
      <w:rPr>
        <w:rFonts w:hint="default"/>
      </w:rPr>
    </w:lvl>
    <w:lvl w:ilvl="1">
      <w:start w:val="1"/>
      <w:numFmt w:val="decimal"/>
      <w:isLgl w:val="false"/>
      <w:suff w:val="tab"/>
      <w:lvlText w:val="%1.%2."/>
      <w:lvlJc w:val="left"/>
      <w:pPr>
        <w:ind w:left="284" w:firstLine="0"/>
      </w:pPr>
      <w:rPr>
        <w:rFonts w:hint="eastAsia"/>
      </w:rPr>
    </w:lvl>
    <w:lvl w:ilvl="2">
      <w:start w:val="1"/>
      <w:numFmt w:val="decimal"/>
      <w:isLgl w:val="false"/>
      <w:suff w:val="tab"/>
      <w:lvlText w:val="%1.%2.%3."/>
      <w:lvlJc w:val="left"/>
      <w:pPr>
        <w:ind w:left="709"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4">
    <w:multiLevelType w:val="hybridMultilevel"/>
    <w:lvl w:ilvl="0">
      <w:start w:val="1"/>
      <w:numFmt w:val="decimal"/>
      <w:isLgl w:val="false"/>
      <w:suff w:val="tab"/>
      <w:lvlText w:val="%1."/>
      <w:lvlJc w:val="left"/>
      <w:pPr>
        <w:ind w:left="284" w:hanging="284"/>
      </w:pPr>
      <w:rPr>
        <w:rFonts w:hint="default"/>
      </w:rPr>
    </w:lvl>
    <w:lvl w:ilvl="1">
      <w:start w:val="1"/>
      <w:numFmt w:val="decimal"/>
      <w:isLgl w:val="false"/>
      <w:suff w:val="tab"/>
      <w:lvlText w:val="%1.%2."/>
      <w:lvlJc w:val="left"/>
      <w:pPr>
        <w:ind w:left="284" w:firstLine="0"/>
      </w:pPr>
      <w:rPr>
        <w:rFonts w:hint="eastAsia"/>
      </w:rPr>
    </w:lvl>
    <w:lvl w:ilvl="2">
      <w:start w:val="1"/>
      <w:numFmt w:val="decimal"/>
      <w:isLgl w:val="false"/>
      <w:suff w:val="tab"/>
      <w:lvlText w:val="%1.%2.%3."/>
      <w:lvlJc w:val="left"/>
      <w:pPr>
        <w:ind w:left="709"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5">
    <w:multiLevelType w:val="hybridMultilevel"/>
    <w:lvl w:ilvl="0">
      <w:start w:val="1"/>
      <w:numFmt w:val="decimal"/>
      <w:isLgl w:val="false"/>
      <w:suff w:val="tab"/>
      <w:lvlText w:val="%1."/>
      <w:lvlJc w:val="left"/>
      <w:pPr>
        <w:ind w:left="284" w:hanging="284"/>
      </w:pPr>
      <w:rPr>
        <w:rFonts w:hint="default"/>
      </w:rPr>
    </w:lvl>
    <w:lvl w:ilvl="1">
      <w:start w:val="1"/>
      <w:numFmt w:val="decimal"/>
      <w:isLgl w:val="false"/>
      <w:suff w:val="tab"/>
      <w:lvlText w:val="%1.%2."/>
      <w:lvlJc w:val="left"/>
      <w:pPr>
        <w:ind w:left="284" w:firstLine="0"/>
      </w:pPr>
      <w:rPr>
        <w:rFonts w:hint="eastAsia"/>
      </w:rPr>
    </w:lvl>
    <w:lvl w:ilvl="2">
      <w:start w:val="1"/>
      <w:numFmt w:val="decimal"/>
      <w:isLgl w:val="false"/>
      <w:suff w:val="tab"/>
      <w:lvlText w:val="%1.%2.%3."/>
      <w:lvlJc w:val="left"/>
      <w:pPr>
        <w:ind w:left="709"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6">
    <w:multiLevelType w:val="hybridMultilevel"/>
    <w:lvl w:ilvl="0">
      <w:start w:val="1"/>
      <w:numFmt w:val="japaneseCounting"/>
      <w:isLgl w:val="false"/>
      <w:suff w:val="tab"/>
      <w:lvlText w:val="（%1）"/>
      <w:lvlJc w:val="left"/>
      <w:pPr>
        <w:ind w:left="849" w:hanging="849"/>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2"/>
  </w:num>
  <w:num w:numId="2">
    <w:abstractNumId w:val="1"/>
  </w:num>
  <w:num w:numId="3">
    <w:abstractNumId w:val="6"/>
  </w:num>
  <w:num w:numId="4">
    <w:abstractNumId w:val="4"/>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5"/>
    <w:link w:val="860"/>
    <w:uiPriority w:val="9"/>
    <w:rPr>
      <w:rFonts w:ascii="Arial" w:hAnsi="Arial" w:eastAsia="Arial" w:cs="Arial"/>
      <w:sz w:val="40"/>
      <w:szCs w:val="40"/>
    </w:rPr>
  </w:style>
  <w:style w:type="character" w:styleId="703">
    <w:name w:val="Heading 2 Char"/>
    <w:basedOn w:val="865"/>
    <w:link w:val="861"/>
    <w:uiPriority w:val="9"/>
    <w:rPr>
      <w:rFonts w:ascii="Arial" w:hAnsi="Arial" w:eastAsia="Arial" w:cs="Arial"/>
      <w:sz w:val="34"/>
    </w:rPr>
  </w:style>
  <w:style w:type="character" w:styleId="704">
    <w:name w:val="Heading 3 Char"/>
    <w:basedOn w:val="865"/>
    <w:link w:val="862"/>
    <w:uiPriority w:val="9"/>
    <w:rPr>
      <w:rFonts w:ascii="Arial" w:hAnsi="Arial" w:eastAsia="Arial" w:cs="Arial"/>
      <w:sz w:val="30"/>
      <w:szCs w:val="30"/>
    </w:rPr>
  </w:style>
  <w:style w:type="character" w:styleId="705">
    <w:name w:val="Heading 4 Char"/>
    <w:basedOn w:val="865"/>
    <w:link w:val="863"/>
    <w:uiPriority w:val="9"/>
    <w:rPr>
      <w:rFonts w:ascii="Arial" w:hAnsi="Arial" w:eastAsia="Arial" w:cs="Arial"/>
      <w:b/>
      <w:bCs/>
      <w:sz w:val="26"/>
      <w:szCs w:val="26"/>
    </w:rPr>
  </w:style>
  <w:style w:type="character" w:styleId="706">
    <w:name w:val="Heading 5 Char"/>
    <w:basedOn w:val="865"/>
    <w:link w:val="864"/>
    <w:uiPriority w:val="9"/>
    <w:rPr>
      <w:rFonts w:ascii="Arial" w:hAnsi="Arial" w:eastAsia="Arial" w:cs="Arial"/>
      <w:b/>
      <w:bCs/>
      <w:sz w:val="24"/>
      <w:szCs w:val="24"/>
    </w:rPr>
  </w:style>
  <w:style w:type="paragraph" w:styleId="707">
    <w:name w:val="Heading 6"/>
    <w:basedOn w:val="859"/>
    <w:next w:val="859"/>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65"/>
    <w:link w:val="707"/>
    <w:uiPriority w:val="9"/>
    <w:rPr>
      <w:rFonts w:ascii="Arial" w:hAnsi="Arial" w:eastAsia="Arial" w:cs="Arial"/>
      <w:b/>
      <w:bCs/>
      <w:sz w:val="22"/>
      <w:szCs w:val="22"/>
    </w:rPr>
  </w:style>
  <w:style w:type="paragraph" w:styleId="709">
    <w:name w:val="Heading 7"/>
    <w:basedOn w:val="859"/>
    <w:next w:val="859"/>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65"/>
    <w:link w:val="709"/>
    <w:uiPriority w:val="9"/>
    <w:rPr>
      <w:rFonts w:ascii="Arial" w:hAnsi="Arial" w:eastAsia="Arial" w:cs="Arial"/>
      <w:b/>
      <w:bCs/>
      <w:i/>
      <w:iCs/>
      <w:sz w:val="22"/>
      <w:szCs w:val="22"/>
    </w:rPr>
  </w:style>
  <w:style w:type="paragraph" w:styleId="711">
    <w:name w:val="Heading 8"/>
    <w:basedOn w:val="859"/>
    <w:next w:val="859"/>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65"/>
    <w:link w:val="711"/>
    <w:uiPriority w:val="9"/>
    <w:rPr>
      <w:rFonts w:ascii="Arial" w:hAnsi="Arial" w:eastAsia="Arial" w:cs="Arial"/>
      <w:i/>
      <w:iCs/>
      <w:sz w:val="22"/>
      <w:szCs w:val="22"/>
    </w:rPr>
  </w:style>
  <w:style w:type="paragraph" w:styleId="713">
    <w:name w:val="Heading 9"/>
    <w:basedOn w:val="859"/>
    <w:next w:val="859"/>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65"/>
    <w:link w:val="713"/>
    <w:uiPriority w:val="9"/>
    <w:rPr>
      <w:rFonts w:ascii="Arial" w:hAnsi="Arial" w:eastAsia="Arial" w:cs="Arial"/>
      <w:i/>
      <w:iCs/>
      <w:sz w:val="21"/>
      <w:szCs w:val="21"/>
    </w:rPr>
  </w:style>
  <w:style w:type="character" w:styleId="715">
    <w:name w:val="Title Char"/>
    <w:basedOn w:val="865"/>
    <w:link w:val="888"/>
    <w:uiPriority w:val="10"/>
    <w:rPr>
      <w:sz w:val="48"/>
      <w:szCs w:val="48"/>
    </w:rPr>
  </w:style>
  <w:style w:type="paragraph" w:styleId="716">
    <w:name w:val="Subtitle"/>
    <w:basedOn w:val="859"/>
    <w:next w:val="859"/>
    <w:link w:val="717"/>
    <w:uiPriority w:val="11"/>
    <w:qFormat/>
    <w:pPr>
      <w:spacing w:before="200" w:after="200"/>
    </w:pPr>
    <w:rPr>
      <w:sz w:val="24"/>
      <w:szCs w:val="24"/>
    </w:rPr>
  </w:style>
  <w:style w:type="character" w:styleId="717">
    <w:name w:val="Subtitle Char"/>
    <w:basedOn w:val="865"/>
    <w:link w:val="716"/>
    <w:uiPriority w:val="11"/>
    <w:rPr>
      <w:sz w:val="24"/>
      <w:szCs w:val="24"/>
    </w:rPr>
  </w:style>
  <w:style w:type="paragraph" w:styleId="718">
    <w:name w:val="Quote"/>
    <w:basedOn w:val="859"/>
    <w:next w:val="859"/>
    <w:link w:val="719"/>
    <w:uiPriority w:val="29"/>
    <w:qFormat/>
    <w:pPr>
      <w:ind w:left="720" w:right="720"/>
    </w:pPr>
    <w:rPr>
      <w:i/>
    </w:rPr>
  </w:style>
  <w:style w:type="character" w:styleId="719">
    <w:name w:val="Quote Char"/>
    <w:link w:val="718"/>
    <w:uiPriority w:val="29"/>
    <w:rPr>
      <w:i/>
    </w:rPr>
  </w:style>
  <w:style w:type="paragraph" w:styleId="720">
    <w:name w:val="Intense Quote"/>
    <w:basedOn w:val="859"/>
    <w:next w:val="859"/>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character" w:styleId="722">
    <w:name w:val="Header Char"/>
    <w:basedOn w:val="865"/>
    <w:link w:val="881"/>
    <w:uiPriority w:val="99"/>
  </w:style>
  <w:style w:type="character" w:styleId="723">
    <w:name w:val="Footer Char"/>
    <w:basedOn w:val="865"/>
    <w:link w:val="880"/>
    <w:uiPriority w:val="99"/>
  </w:style>
  <w:style w:type="paragraph" w:styleId="724">
    <w:name w:val="Caption"/>
    <w:basedOn w:val="859"/>
    <w:next w:val="859"/>
    <w:uiPriority w:val="35"/>
    <w:semiHidden/>
    <w:unhideWhenUsed/>
    <w:qFormat/>
    <w:pPr>
      <w:spacing w:line="276" w:lineRule="auto"/>
    </w:pPr>
    <w:rPr>
      <w:b/>
      <w:bCs/>
      <w:color w:val="4f81bd" w:themeColor="accent1"/>
      <w:sz w:val="18"/>
      <w:szCs w:val="18"/>
    </w:rPr>
  </w:style>
  <w:style w:type="character" w:styleId="725">
    <w:name w:val="Caption Char"/>
    <w:basedOn w:val="724"/>
    <w:link w:val="880"/>
    <w:uiPriority w:val="99"/>
  </w:style>
  <w:style w:type="table" w:styleId="726">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1">
    <w:name w:val="footnote text"/>
    <w:basedOn w:val="859"/>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basedOn w:val="865"/>
    <w:uiPriority w:val="99"/>
    <w:unhideWhenUsed/>
    <w:rPr>
      <w:vertAlign w:val="superscript"/>
    </w:rPr>
  </w:style>
  <w:style w:type="paragraph" w:styleId="854">
    <w:name w:val="endnote text"/>
    <w:basedOn w:val="859"/>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65"/>
    <w:uiPriority w:val="99"/>
    <w:semiHidden/>
    <w:unhideWhenUsed/>
    <w:rPr>
      <w:vertAlign w:val="superscript"/>
    </w:r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0">
    <w:name w:val="Heading 1"/>
    <w:basedOn w:val="859"/>
    <w:next w:val="859"/>
    <w:link w:val="916"/>
    <w:uiPriority w:val="9"/>
    <w:qFormat/>
    <w:pPr>
      <w:keepLines/>
      <w:keepNext/>
      <w:spacing w:before="340" w:after="330" w:line="578" w:lineRule="auto"/>
      <w:outlineLvl w:val="0"/>
    </w:pPr>
    <w:rPr>
      <w:b/>
      <w:bCs/>
      <w:sz w:val="44"/>
      <w:szCs w:val="44"/>
    </w:rPr>
  </w:style>
  <w:style w:type="paragraph" w:styleId="861">
    <w:name w:val="Heading 2"/>
    <w:basedOn w:val="859"/>
    <w:next w:val="859"/>
    <w:link w:val="921"/>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2">
    <w:name w:val="Heading 3"/>
    <w:basedOn w:val="859"/>
    <w:next w:val="859"/>
    <w:link w:val="922"/>
    <w:uiPriority w:val="9"/>
    <w:semiHidden/>
    <w:unhideWhenUsed/>
    <w:qFormat/>
    <w:pPr>
      <w:keepLines/>
      <w:keepNext/>
      <w:spacing w:before="260" w:after="260" w:line="416" w:lineRule="auto"/>
      <w:outlineLvl w:val="2"/>
    </w:pPr>
    <w:rPr>
      <w:b/>
      <w:bCs/>
      <w:sz w:val="32"/>
      <w:szCs w:val="32"/>
    </w:rPr>
  </w:style>
  <w:style w:type="paragraph" w:styleId="863">
    <w:name w:val="Heading 4"/>
    <w:basedOn w:val="859"/>
    <w:next w:val="859"/>
    <w:link w:val="923"/>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64">
    <w:name w:val="Heading 5"/>
    <w:basedOn w:val="859"/>
    <w:next w:val="859"/>
    <w:link w:val="924"/>
    <w:uiPriority w:val="9"/>
    <w:semiHidden/>
    <w:unhideWhenUsed/>
    <w:qFormat/>
    <w:pPr>
      <w:keepLines/>
      <w:keepNext/>
      <w:spacing w:before="280" w:after="290" w:line="376" w:lineRule="auto"/>
      <w:outlineLvl w:val="4"/>
    </w:pPr>
    <w:rPr>
      <w:b/>
      <w:bCs/>
      <w:sz w:val="28"/>
      <w:szCs w:val="28"/>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toc 7"/>
    <w:basedOn w:val="859"/>
    <w:next w:val="859"/>
    <w:uiPriority w:val="39"/>
    <w:unhideWhenUsed/>
    <w:qFormat/>
    <w:pPr>
      <w:ind w:left="1260"/>
      <w:jc w:val="left"/>
    </w:pPr>
    <w:rPr>
      <w:sz w:val="18"/>
      <w:szCs w:val="18"/>
    </w:rPr>
  </w:style>
  <w:style w:type="paragraph" w:styleId="868">
    <w:name w:val="Note Heading"/>
    <w:basedOn w:val="859"/>
    <w:next w:val="859"/>
    <w:link w:val="925"/>
    <w:uiPriority w:val="0"/>
    <w:qFormat/>
    <w:pPr>
      <w:jc w:val="center"/>
    </w:pPr>
    <w:rPr>
      <w:rFonts w:ascii="金梅簡體中黑字形" w:hAnsi="Arial" w:eastAsia="金梅簡體中黑字形" w:cs="Times New Roman"/>
      <w:sz w:val="24"/>
      <w:szCs w:val="24"/>
    </w:rPr>
  </w:style>
  <w:style w:type="paragraph" w:styleId="869">
    <w:name w:val="Normal Indent"/>
    <w:basedOn w:val="859"/>
    <w:uiPriority w:val="99"/>
    <w:semiHidden/>
    <w:unhideWhenUsed/>
    <w:qFormat/>
    <w:pPr>
      <w:ind w:left="720"/>
    </w:pPr>
  </w:style>
  <w:style w:type="paragraph" w:styleId="870">
    <w:name w:val="Document Map"/>
    <w:basedOn w:val="859"/>
    <w:link w:val="926"/>
    <w:uiPriority w:val="99"/>
    <w:qFormat/>
    <w:rPr>
      <w:rFonts w:ascii="宋体"/>
      <w:sz w:val="18"/>
      <w:szCs w:val="18"/>
    </w:rPr>
  </w:style>
  <w:style w:type="paragraph" w:styleId="871">
    <w:name w:val="annotation text"/>
    <w:basedOn w:val="859"/>
    <w:link w:val="903"/>
    <w:uiPriority w:val="99"/>
    <w:unhideWhenUsed/>
    <w:qFormat/>
    <w:pPr>
      <w:jc w:val="left"/>
    </w:pPr>
  </w:style>
  <w:style w:type="paragraph" w:styleId="872">
    <w:name w:val="Body Text 3"/>
    <w:basedOn w:val="859"/>
    <w:link w:val="927"/>
    <w:uiPriority w:val="0"/>
    <w:qFormat/>
    <w:rPr>
      <w:rFonts w:ascii="仿宋_GB2312" w:eastAsia="仿宋_GB2312"/>
      <w:sz w:val="24"/>
    </w:rPr>
  </w:style>
  <w:style w:type="paragraph" w:styleId="873">
    <w:name w:val="Body Text"/>
    <w:basedOn w:val="859"/>
    <w:link w:val="906"/>
    <w:uiPriority w:val="0"/>
    <w:qFormat/>
    <w:pPr>
      <w:spacing w:line="360" w:lineRule="auto"/>
    </w:pPr>
    <w:rPr>
      <w:rFonts w:ascii="楷体_GB2312" w:hAnsi="Times New Roman" w:eastAsia="楷体_GB2312" w:cs="Times New Roman"/>
      <w:bCs/>
      <w:sz w:val="28"/>
      <w:szCs w:val="24"/>
    </w:rPr>
  </w:style>
  <w:style w:type="paragraph" w:styleId="874">
    <w:name w:val="Body Text Indent"/>
    <w:basedOn w:val="859"/>
    <w:link w:val="910"/>
    <w:uiPriority w:val="0"/>
    <w:unhideWhenUsed/>
    <w:qFormat/>
    <w:pPr>
      <w:ind w:left="420"/>
      <w:spacing w:after="120"/>
    </w:pPr>
  </w:style>
  <w:style w:type="paragraph" w:styleId="875">
    <w:name w:val="toc 5"/>
    <w:basedOn w:val="859"/>
    <w:next w:val="859"/>
    <w:uiPriority w:val="39"/>
    <w:unhideWhenUsed/>
    <w:qFormat/>
    <w:pPr>
      <w:ind w:left="840"/>
      <w:jc w:val="left"/>
    </w:pPr>
    <w:rPr>
      <w:sz w:val="18"/>
      <w:szCs w:val="18"/>
    </w:rPr>
  </w:style>
  <w:style w:type="paragraph" w:styleId="876">
    <w:name w:val="toc 3"/>
    <w:basedOn w:val="859"/>
    <w:next w:val="859"/>
    <w:uiPriority w:val="39"/>
    <w:unhideWhenUsed/>
    <w:qFormat/>
    <w:pPr>
      <w:ind w:left="420"/>
      <w:jc w:val="left"/>
    </w:pPr>
    <w:rPr>
      <w:i/>
      <w:iCs/>
      <w:sz w:val="20"/>
      <w:szCs w:val="20"/>
    </w:rPr>
  </w:style>
  <w:style w:type="paragraph" w:styleId="877">
    <w:name w:val="Plain Text"/>
    <w:basedOn w:val="859"/>
    <w:link w:val="928"/>
    <w:uiPriority w:val="0"/>
    <w:qFormat/>
    <w:rPr>
      <w:rFonts w:hAnsi="Courier New" w:cs="Courier New" w:asciiTheme="minorEastAsia"/>
    </w:rPr>
  </w:style>
  <w:style w:type="paragraph" w:styleId="878">
    <w:name w:val="toc 8"/>
    <w:basedOn w:val="859"/>
    <w:next w:val="859"/>
    <w:uiPriority w:val="39"/>
    <w:unhideWhenUsed/>
    <w:qFormat/>
    <w:pPr>
      <w:ind w:left="1470"/>
      <w:jc w:val="left"/>
    </w:pPr>
    <w:rPr>
      <w:sz w:val="18"/>
      <w:szCs w:val="18"/>
    </w:rPr>
  </w:style>
  <w:style w:type="paragraph" w:styleId="879">
    <w:name w:val="Balloon Text"/>
    <w:basedOn w:val="859"/>
    <w:link w:val="901"/>
    <w:uiPriority w:val="99"/>
    <w:semiHidden/>
    <w:unhideWhenUsed/>
    <w:qFormat/>
    <w:rPr>
      <w:sz w:val="18"/>
      <w:szCs w:val="18"/>
    </w:rPr>
  </w:style>
  <w:style w:type="paragraph" w:styleId="880">
    <w:name w:val="Footer"/>
    <w:basedOn w:val="859"/>
    <w:link w:val="899"/>
    <w:uiPriority w:val="99"/>
    <w:unhideWhenUsed/>
    <w:qFormat/>
    <w:pPr>
      <w:jc w:val="left"/>
      <w:tabs>
        <w:tab w:val="center" w:pos="4153" w:leader="none"/>
        <w:tab w:val="right" w:pos="8306" w:leader="none"/>
      </w:tabs>
    </w:pPr>
    <w:rPr>
      <w:sz w:val="18"/>
      <w:szCs w:val="18"/>
    </w:rPr>
  </w:style>
  <w:style w:type="paragraph" w:styleId="881">
    <w:name w:val="Header"/>
    <w:basedOn w:val="859"/>
    <w:link w:val="89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82">
    <w:name w:val="toc 1"/>
    <w:basedOn w:val="859"/>
    <w:next w:val="859"/>
    <w:uiPriority w:val="39"/>
    <w:unhideWhenUsed/>
    <w:qFormat/>
    <w:pPr>
      <w:jc w:val="left"/>
      <w:spacing w:before="120" w:after="120"/>
    </w:pPr>
    <w:rPr>
      <w:b/>
      <w:bCs/>
      <w:caps/>
      <w:sz w:val="20"/>
      <w:szCs w:val="20"/>
    </w:rPr>
  </w:style>
  <w:style w:type="paragraph" w:styleId="883">
    <w:name w:val="toc 4"/>
    <w:basedOn w:val="859"/>
    <w:next w:val="859"/>
    <w:uiPriority w:val="39"/>
    <w:unhideWhenUsed/>
    <w:qFormat/>
    <w:pPr>
      <w:ind w:left="630"/>
      <w:jc w:val="left"/>
    </w:pPr>
    <w:rPr>
      <w:sz w:val="18"/>
      <w:szCs w:val="18"/>
    </w:rPr>
  </w:style>
  <w:style w:type="paragraph" w:styleId="884">
    <w:name w:val="toc 6"/>
    <w:basedOn w:val="859"/>
    <w:next w:val="859"/>
    <w:uiPriority w:val="39"/>
    <w:unhideWhenUsed/>
    <w:qFormat/>
    <w:pPr>
      <w:ind w:left="1050"/>
      <w:jc w:val="left"/>
    </w:pPr>
    <w:rPr>
      <w:sz w:val="18"/>
      <w:szCs w:val="18"/>
    </w:rPr>
  </w:style>
  <w:style w:type="paragraph" w:styleId="885">
    <w:name w:val="toc 2"/>
    <w:basedOn w:val="859"/>
    <w:next w:val="859"/>
    <w:uiPriority w:val="39"/>
    <w:unhideWhenUsed/>
    <w:qFormat/>
    <w:pPr>
      <w:ind w:left="210"/>
      <w:jc w:val="left"/>
    </w:pPr>
    <w:rPr>
      <w:smallCaps/>
      <w:sz w:val="20"/>
      <w:szCs w:val="20"/>
    </w:rPr>
  </w:style>
  <w:style w:type="paragraph" w:styleId="886">
    <w:name w:val="toc 9"/>
    <w:basedOn w:val="859"/>
    <w:next w:val="859"/>
    <w:uiPriority w:val="39"/>
    <w:unhideWhenUsed/>
    <w:qFormat/>
    <w:pPr>
      <w:ind w:left="1680"/>
      <w:jc w:val="left"/>
    </w:pPr>
    <w:rPr>
      <w:sz w:val="18"/>
      <w:szCs w:val="18"/>
    </w:rPr>
  </w:style>
  <w:style w:type="paragraph" w:styleId="887">
    <w:name w:val="Normal (Web)"/>
    <w:basedOn w:val="859"/>
    <w:uiPriority w:val="0"/>
    <w:qFormat/>
    <w:pPr>
      <w:jc w:val="left"/>
      <w:spacing w:before="100" w:beforeAutospacing="1" w:after="100" w:afterAutospacing="1"/>
      <w:widowControl/>
    </w:pPr>
    <w:rPr>
      <w:rFonts w:ascii="宋体" w:hAnsi="宋体" w:cs="宋体"/>
      <w:sz w:val="24"/>
      <w:szCs w:val="24"/>
    </w:rPr>
  </w:style>
  <w:style w:type="paragraph" w:styleId="888">
    <w:name w:val="Title"/>
    <w:basedOn w:val="859"/>
    <w:next w:val="859"/>
    <w:link w:val="897"/>
    <w:uiPriority w:val="10"/>
    <w:qFormat/>
    <w:pPr>
      <w:jc w:val="center"/>
      <w:spacing w:line="400" w:lineRule="exact"/>
      <w:outlineLvl w:val="0"/>
    </w:pPr>
    <w:rPr>
      <w:rFonts w:eastAsia="黑体" w:asciiTheme="majorHAnsi" w:hAnsiTheme="majorHAnsi" w:cstheme="majorBidi"/>
      <w:bCs/>
      <w:sz w:val="30"/>
      <w:szCs w:val="32"/>
    </w:rPr>
  </w:style>
  <w:style w:type="paragraph" w:styleId="889">
    <w:name w:val="annotation subject"/>
    <w:basedOn w:val="871"/>
    <w:next w:val="871"/>
    <w:link w:val="904"/>
    <w:uiPriority w:val="99"/>
    <w:semiHidden/>
    <w:unhideWhenUsed/>
    <w:qFormat/>
    <w:rPr>
      <w:b/>
      <w:bCs/>
    </w:rPr>
  </w:style>
  <w:style w:type="paragraph" w:styleId="890">
    <w:name w:val="Body Text First Indent"/>
    <w:basedOn w:val="873"/>
    <w:link w:val="929"/>
    <w:uiPriority w:val="0"/>
    <w:qFormat/>
    <w:pPr>
      <w:ind w:firstLine="420"/>
      <w:spacing w:after="120" w:line="240" w:lineRule="auto"/>
    </w:pPr>
    <w:rPr>
      <w:rFonts w:ascii="宋体" w:hAnsi="宋体" w:eastAsia="宋体" w:cstheme="minorBidi"/>
      <w:sz w:val="24"/>
      <w:szCs w:val="22"/>
    </w:rPr>
  </w:style>
  <w:style w:type="paragraph" w:styleId="891">
    <w:name w:val="Body Text First Indent 2"/>
    <w:basedOn w:val="874"/>
    <w:link w:val="920"/>
    <w:uiPriority w:val="0"/>
    <w:unhideWhenUsed/>
    <w:qFormat/>
    <w:pPr>
      <w:ind w:firstLine="420"/>
    </w:pPr>
  </w:style>
  <w:style w:type="table" w:styleId="892">
    <w:name w:val="Table Grid"/>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name w:val="Strong"/>
    <w:basedOn w:val="865"/>
    <w:uiPriority w:val="22"/>
    <w:qFormat/>
    <w:rPr>
      <w:b/>
      <w:bCs/>
    </w:rPr>
  </w:style>
  <w:style w:type="character" w:styleId="894">
    <w:name w:val="page number"/>
    <w:uiPriority w:val="0"/>
    <w:qFormat/>
  </w:style>
  <w:style w:type="character" w:styleId="895">
    <w:name w:val="Hyperlink"/>
    <w:basedOn w:val="865"/>
    <w:uiPriority w:val="99"/>
    <w:unhideWhenUsed/>
    <w:qFormat/>
    <w:rPr>
      <w:color w:val="0000ff" w:themeColor="hyperlink"/>
      <w:u w:val="single"/>
      <w14:textFill>
        <w14:solidFill>
          <w14:schemeClr w14:val="hlink"/>
        </w14:solidFill>
      </w14:textFill>
    </w:rPr>
  </w:style>
  <w:style w:type="character" w:styleId="896">
    <w:name w:val="annotation reference"/>
    <w:basedOn w:val="865"/>
    <w:uiPriority w:val="99"/>
    <w:semiHidden/>
    <w:unhideWhenUsed/>
    <w:qFormat/>
    <w:rPr>
      <w:sz w:val="21"/>
      <w:szCs w:val="21"/>
    </w:rPr>
  </w:style>
  <w:style w:type="character" w:styleId="897" w:customStyle="1">
    <w:name w:val="标题 字符"/>
    <w:basedOn w:val="865"/>
    <w:link w:val="888"/>
    <w:uiPriority w:val="10"/>
    <w:qFormat/>
    <w:rPr>
      <w:rFonts w:eastAsia="黑体" w:asciiTheme="majorHAnsi" w:hAnsiTheme="majorHAnsi" w:cstheme="majorBidi"/>
      <w:bCs/>
      <w:sz w:val="30"/>
      <w:szCs w:val="32"/>
    </w:rPr>
  </w:style>
  <w:style w:type="character" w:styleId="898" w:customStyle="1">
    <w:name w:val="页眉 字符"/>
    <w:basedOn w:val="865"/>
    <w:link w:val="881"/>
    <w:uiPriority w:val="0"/>
    <w:qFormat/>
    <w:rPr>
      <w:sz w:val="18"/>
      <w:szCs w:val="18"/>
    </w:rPr>
  </w:style>
  <w:style w:type="character" w:styleId="899" w:customStyle="1">
    <w:name w:val="页脚 字符"/>
    <w:basedOn w:val="865"/>
    <w:link w:val="880"/>
    <w:uiPriority w:val="99"/>
    <w:qFormat/>
    <w:rPr>
      <w:sz w:val="18"/>
      <w:szCs w:val="18"/>
    </w:rPr>
  </w:style>
  <w:style w:type="character" w:styleId="900" w:customStyle="1">
    <w:name w:val="font2800"/>
    <w:basedOn w:val="865"/>
    <w:uiPriority w:val="0"/>
    <w:qFormat/>
  </w:style>
  <w:style w:type="character" w:styleId="901" w:customStyle="1">
    <w:name w:val="批注框文本 字符"/>
    <w:basedOn w:val="865"/>
    <w:link w:val="879"/>
    <w:uiPriority w:val="99"/>
    <w:semiHidden/>
    <w:qFormat/>
    <w:rPr>
      <w:sz w:val="18"/>
      <w:szCs w:val="18"/>
    </w:rPr>
  </w:style>
  <w:style w:type="table" w:styleId="902" w:customStyle="1">
    <w:name w:val="网格型1"/>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customStyle="1">
    <w:name w:val="批注文字 字符"/>
    <w:basedOn w:val="865"/>
    <w:link w:val="871"/>
    <w:uiPriority w:val="99"/>
    <w:qFormat/>
  </w:style>
  <w:style w:type="character" w:styleId="904" w:customStyle="1">
    <w:name w:val="批注主题 字符"/>
    <w:basedOn w:val="903"/>
    <w:link w:val="889"/>
    <w:uiPriority w:val="99"/>
    <w:semiHidden/>
    <w:qFormat/>
    <w:rPr>
      <w:b/>
      <w:bCs/>
    </w:rPr>
  </w:style>
  <w:style w:type="character" w:styleId="905" w:customStyle="1">
    <w:name w:val="正文文本 Char"/>
    <w:basedOn w:val="865"/>
    <w:uiPriority w:val="0"/>
    <w:qFormat/>
  </w:style>
  <w:style w:type="character" w:styleId="906" w:customStyle="1">
    <w:name w:val="正文文本 字符"/>
    <w:link w:val="873"/>
    <w:uiPriority w:val="0"/>
    <w:qFormat/>
    <w:rPr>
      <w:rFonts w:ascii="楷体_GB2312" w:hAnsi="Times New Roman" w:eastAsia="楷体_GB2312" w:cs="Times New Roman"/>
      <w:bCs/>
      <w:sz w:val="28"/>
      <w:szCs w:val="24"/>
    </w:rPr>
  </w:style>
  <w:style w:type="paragraph" w:styleId="907" w:customStyle="1">
    <w:name w:val="Table Paragraph"/>
    <w:basedOn w:val="859"/>
    <w:uiPriority w:val="1"/>
    <w:qFormat/>
    <w:pPr>
      <w:ind w:firstLine="260"/>
      <w:jc w:val="left"/>
      <w:spacing w:line="360" w:lineRule="auto"/>
    </w:pPr>
    <w:rPr>
      <w:rFonts w:ascii="Calibri" w:hAnsi="Calibri" w:eastAsia="仿宋" w:cs="Times New Roman"/>
      <w:sz w:val="28"/>
      <w:lang w:eastAsia="en-US"/>
    </w:rPr>
  </w:style>
  <w:style w:type="paragraph" w:styleId="908">
    <w:name w:val="No Spacing"/>
    <w:link w:val="909"/>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909" w:customStyle="1">
    <w:name w:val="无间隔 字符"/>
    <w:link w:val="908"/>
    <w:uiPriority w:val="1"/>
    <w:qFormat/>
    <w:rPr>
      <w:rFonts w:ascii="宋体" w:hAnsi="宋体"/>
      <w:sz w:val="24"/>
    </w:rPr>
  </w:style>
  <w:style w:type="character" w:styleId="910" w:customStyle="1">
    <w:name w:val="正文文本缩进 字符"/>
    <w:basedOn w:val="865"/>
    <w:link w:val="874"/>
    <w:uiPriority w:val="0"/>
    <w:qFormat/>
  </w:style>
  <w:style w:type="table" w:styleId="911" w:customStyle="1">
    <w:name w:val="网格型2"/>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2"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13" w:customStyle="1">
    <w:name w:val="网格型3"/>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4" w:customStyle="1">
    <w:name w:val="网格型4"/>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5" w:customStyle="1">
    <w:name w:val="Table Normal"/>
    <w:uiPriority w:val="0"/>
    <w:semiHidden/>
    <w:unhideWhenUsed/>
    <w:qFormat/>
    <w:tblPr>
      <w:tblCellMar>
        <w:left w:w="0" w:type="dxa"/>
        <w:top w:w="0" w:type="dxa"/>
        <w:right w:w="0" w:type="dxa"/>
        <w:bottom w:w="0" w:type="dxa"/>
      </w:tblCellMar>
    </w:tblPr>
  </w:style>
  <w:style w:type="character" w:styleId="916" w:customStyle="1">
    <w:name w:val="标题 1 字符"/>
    <w:basedOn w:val="865"/>
    <w:link w:val="860"/>
    <w:uiPriority w:val="9"/>
    <w:qFormat/>
    <w:rPr>
      <w:b/>
      <w:bCs/>
      <w:sz w:val="44"/>
      <w:szCs w:val="44"/>
    </w:rPr>
  </w:style>
  <w:style w:type="paragraph" w:styleId="917" w:customStyle="1">
    <w:name w:val="TOC 标题1"/>
    <w:basedOn w:val="860"/>
    <w:next w:val="859"/>
    <w:uiPriority w:val="39"/>
    <w:semiHidden/>
    <w:unhideWhenUsed/>
    <w:qFormat/>
    <w:pPr>
      <w:outlineLvl w:val="9"/>
    </w:pPr>
  </w:style>
  <w:style w:type="character" w:styleId="918" w:customStyle="1">
    <w:name w:val="font21"/>
    <w:basedOn w:val="865"/>
    <w:uiPriority w:val="0"/>
    <w:qFormat/>
    <w:rPr>
      <w:rFonts w:ascii="Calibri" w:hAnsi="Calibri" w:cs="Calibri"/>
      <w:color w:val="000000"/>
      <w:sz w:val="21"/>
      <w:szCs w:val="21"/>
      <w:u w:val="none"/>
    </w:rPr>
  </w:style>
  <w:style w:type="character" w:styleId="919" w:customStyle="1">
    <w:name w:val="font11"/>
    <w:basedOn w:val="865"/>
    <w:uiPriority w:val="0"/>
    <w:qFormat/>
    <w:rPr>
      <w:rFonts w:hint="eastAsia" w:ascii="宋体" w:hAnsi="宋体" w:eastAsia="宋体" w:cs="宋体"/>
      <w:color w:val="000000"/>
      <w:sz w:val="21"/>
      <w:szCs w:val="21"/>
      <w:u w:val="none"/>
    </w:rPr>
  </w:style>
  <w:style w:type="character" w:styleId="920" w:customStyle="1">
    <w:name w:val="正文文本首行缩进 2 字符"/>
    <w:basedOn w:val="910"/>
    <w:link w:val="891"/>
    <w:uiPriority w:val="0"/>
    <w:qFormat/>
  </w:style>
  <w:style w:type="character" w:styleId="921" w:customStyle="1">
    <w:name w:val="标题 2 字符"/>
    <w:basedOn w:val="865"/>
    <w:link w:val="861"/>
    <w:uiPriority w:val="9"/>
    <w:semiHidden/>
    <w:qFormat/>
    <w:rPr>
      <w:rFonts w:asciiTheme="majorHAnsi" w:hAnsiTheme="majorHAnsi" w:eastAsiaTheme="majorEastAsia" w:cstheme="majorBidi"/>
      <w:b/>
      <w:bCs/>
      <w:sz w:val="32"/>
      <w:szCs w:val="32"/>
    </w:rPr>
  </w:style>
  <w:style w:type="character" w:styleId="922" w:customStyle="1">
    <w:name w:val="标题 3 字符"/>
    <w:basedOn w:val="865"/>
    <w:link w:val="862"/>
    <w:uiPriority w:val="9"/>
    <w:semiHidden/>
    <w:qFormat/>
    <w:rPr>
      <w:b/>
      <w:bCs/>
      <w:sz w:val="32"/>
      <w:szCs w:val="32"/>
    </w:rPr>
  </w:style>
  <w:style w:type="character" w:styleId="923" w:customStyle="1">
    <w:name w:val="标题 4 字符"/>
    <w:basedOn w:val="865"/>
    <w:link w:val="863"/>
    <w:uiPriority w:val="9"/>
    <w:semiHidden/>
    <w:qFormat/>
    <w:rPr>
      <w:rFonts w:asciiTheme="majorHAnsi" w:hAnsiTheme="majorHAnsi" w:eastAsiaTheme="majorEastAsia" w:cstheme="majorBidi"/>
      <w:b/>
      <w:bCs/>
      <w:sz w:val="28"/>
      <w:szCs w:val="28"/>
    </w:rPr>
  </w:style>
  <w:style w:type="character" w:styleId="924" w:customStyle="1">
    <w:name w:val="标题 5 字符"/>
    <w:basedOn w:val="865"/>
    <w:link w:val="864"/>
    <w:uiPriority w:val="9"/>
    <w:semiHidden/>
    <w:qFormat/>
    <w:rPr>
      <w:b/>
      <w:bCs/>
      <w:sz w:val="28"/>
      <w:szCs w:val="28"/>
    </w:rPr>
  </w:style>
  <w:style w:type="character" w:styleId="925" w:customStyle="1">
    <w:name w:val="注释标题 字符"/>
    <w:basedOn w:val="865"/>
    <w:link w:val="868"/>
    <w:uiPriority w:val="0"/>
    <w:qFormat/>
    <w:rPr>
      <w:rFonts w:ascii="金梅簡體中黑字形" w:hAnsi="Arial" w:eastAsia="金梅簡體中黑字形" w:cs="Times New Roman"/>
      <w:sz w:val="24"/>
      <w:szCs w:val="24"/>
    </w:rPr>
  </w:style>
  <w:style w:type="character" w:styleId="926" w:customStyle="1">
    <w:name w:val="文档结构图 字符"/>
    <w:basedOn w:val="865"/>
    <w:link w:val="870"/>
    <w:uiPriority w:val="99"/>
    <w:qFormat/>
    <w:rPr>
      <w:rFonts w:ascii="宋体"/>
      <w:sz w:val="18"/>
      <w:szCs w:val="18"/>
    </w:rPr>
  </w:style>
  <w:style w:type="character" w:styleId="927" w:customStyle="1">
    <w:name w:val="正文文本 3 字符"/>
    <w:basedOn w:val="865"/>
    <w:link w:val="872"/>
    <w:uiPriority w:val="0"/>
    <w:qFormat/>
    <w:rPr>
      <w:rFonts w:ascii="仿宋_GB2312" w:eastAsia="仿宋_GB2312"/>
      <w:sz w:val="24"/>
    </w:rPr>
  </w:style>
  <w:style w:type="character" w:styleId="928" w:customStyle="1">
    <w:name w:val="纯文本 字符"/>
    <w:basedOn w:val="865"/>
    <w:link w:val="877"/>
    <w:uiPriority w:val="0"/>
    <w:qFormat/>
    <w:rPr>
      <w:rFonts w:hAnsi="Courier New" w:cs="Courier New" w:asciiTheme="minorEastAsia"/>
    </w:rPr>
  </w:style>
  <w:style w:type="character" w:styleId="929" w:customStyle="1">
    <w:name w:val="正文文本首行缩进 字符"/>
    <w:basedOn w:val="906"/>
    <w:link w:val="890"/>
    <w:uiPriority w:val="0"/>
    <w:qFormat/>
    <w:rPr>
      <w:rFonts w:ascii="宋体" w:hAnsi="宋体" w:eastAsia="宋体" w:cs="Times New Roman"/>
      <w:sz w:val="24"/>
      <w:szCs w:val="24"/>
    </w:rPr>
  </w:style>
  <w:style w:type="table" w:styleId="930" w:customStyle="1">
    <w:name w:val="网格型5"/>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1" w:customStyle="1">
    <w:name w:val="正文首行缩进 21"/>
    <w:basedOn w:val="874"/>
    <w:next w:val="873"/>
    <w:uiPriority w:val="0"/>
    <w:qFormat/>
    <w:pPr>
      <w:ind w:firstLine="210"/>
    </w:pPr>
    <w:rPr>
      <w:szCs w:val="21"/>
    </w:rPr>
  </w:style>
  <w:style w:type="paragraph" w:styleId="932" w:customStyle="1">
    <w:name w:val="标题 21"/>
    <w:basedOn w:val="859"/>
    <w:next w:val="859"/>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933" w:customStyle="1">
    <w:name w:val="网格型11"/>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4" w:customStyle="1">
    <w:name w:val="BodyText1I2"/>
    <w:basedOn w:val="859"/>
    <w:next w:val="859"/>
    <w:uiPriority w:val="99"/>
    <w:qFormat/>
    <w:pPr>
      <w:ind w:left="420" w:firstLine="420"/>
      <w:spacing w:after="120"/>
    </w:pPr>
    <w:rPr>
      <w:rFonts w:ascii="楷体_GB2312" w:hAnsi="Times New Roman" w:eastAsia="楷体_GB2312" w:cs="Times New Roman"/>
      <w:szCs w:val="24"/>
    </w:rPr>
  </w:style>
  <w:style w:type="paragraph" w:styleId="935">
    <w:name w:val="List Paragraph"/>
    <w:basedOn w:val="859"/>
    <w:uiPriority w:val="34"/>
    <w:qFormat/>
    <w:pPr>
      <w:ind w:firstLine="420"/>
    </w:pPr>
  </w:style>
  <w:style w:type="paragraph" w:styleId="936" w:customStyle="1">
    <w:name w:val="正文无缩进"/>
    <w:basedOn w:val="859"/>
    <w:uiPriority w:val="0"/>
    <w:qFormat/>
    <w:pPr>
      <w:jc w:val="left"/>
      <w:spacing w:line="300" w:lineRule="auto"/>
      <w:widowControl/>
    </w:pPr>
    <w:rPr>
      <w:rFonts w:eastAsia="楷体_GB2312"/>
      <w:sz w:val="24"/>
    </w:rPr>
  </w:style>
  <w:style w:type="character" w:styleId="937" w:customStyle="1">
    <w:name w:val="NormalCharacter"/>
    <w:uiPriority w:val="0"/>
    <w:qFormat/>
    <w:rPr>
      <w:rFonts w:ascii="Times New Roman" w:hAnsi="Times New Roman" w:eastAsia="宋体"/>
    </w:rPr>
  </w:style>
  <w:style w:type="table" w:styleId="938" w:customStyle="1">
    <w:name w:val="网格型21"/>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9" w:customStyle="1">
    <w:name w:val="Default"/>
    <w:uiPriority w:val="99"/>
    <w:qFormat/>
    <w:pPr>
      <w:ind w:firstLine="1040"/>
      <w:jc w:val="both"/>
      <w:spacing w:line="360" w:lineRule="auto"/>
      <w:widowControl w:val="off"/>
    </w:pPr>
    <w:rPr>
      <w:rFonts w:eastAsia="Songti SC" w:cs="楷体à.ā" w:asciiTheme="minorEastAsia" w:hAnsiTheme="minorEastAsia"/>
      <w:color w:val="000000"/>
      <w:sz w:val="24"/>
      <w:szCs w:val="24"/>
      <w:lang w:val="en-US" w:eastAsia="zh-CN" w:bidi="ar-SA"/>
    </w:rPr>
  </w:style>
  <w:style w:type="paragraph" w:styleId="940" w:customStyle="1">
    <w:name w:val="正文文本首行缩进1"/>
    <w:basedOn w:val="873"/>
    <w:next w:val="941"/>
    <w:uiPriority w:val="0"/>
    <w:qFormat/>
    <w:pPr>
      <w:ind w:firstLine="420"/>
      <w:spacing w:after="120"/>
    </w:pPr>
    <w:rPr>
      <w:rFonts w:eastAsia="宋体"/>
    </w:rPr>
  </w:style>
  <w:style w:type="paragraph" w:styleId="941" w:customStyle="1">
    <w:name w:val="正文文本首行缩进 21"/>
    <w:basedOn w:val="874"/>
    <w:uiPriority w:val="0"/>
    <w:qFormat/>
    <w:pPr>
      <w:ind w:firstLine="420"/>
      <w:widowControl/>
    </w:pPr>
    <w:rPr>
      <w:rFonts w:ascii="仿宋_GB2312" w:eastAsia="仿宋_GB2312"/>
      <w:color w:val="ff6600"/>
    </w:rPr>
  </w:style>
  <w:style w:type="character" w:styleId="942" w:customStyle="1">
    <w:name w:val="font41"/>
    <w:basedOn w:val="865"/>
    <w:uiPriority w:val="0"/>
    <w:qFormat/>
    <w:rPr>
      <w:rFonts w:hint="eastAsia" w:ascii="宋体" w:hAnsi="宋体" w:eastAsia="宋体" w:cs="宋体"/>
      <w:color w:val="000000"/>
      <w:sz w:val="24"/>
      <w:szCs w:val="24"/>
      <w:u w:val="none"/>
    </w:rPr>
  </w:style>
  <w:style w:type="character" w:styleId="943" w:customStyle="1">
    <w:name w:val="font31"/>
    <w:uiPriority w:val="0"/>
    <w:qFormat/>
    <w:rPr>
      <w:rFonts w:hint="default" w:ascii="Times New Roman" w:hAnsi="Times New Roman" w:cs="Times New Roman"/>
      <w:color w:val="000000"/>
      <w:sz w:val="24"/>
      <w:szCs w:val="24"/>
      <w:u w:val="none"/>
    </w:rPr>
  </w:style>
  <w:style w:type="paragraph" w:styleId="944" w:customStyle="1">
    <w:name w:val="msolistparagraph"/>
    <w:basedOn w:val="859"/>
    <w:uiPriority w:val="0"/>
    <w:qFormat/>
    <w:pPr>
      <w:ind w:firstLine="420"/>
    </w:pPr>
    <w:rPr>
      <w:rFonts w:ascii="Calibri" w:hAnsi="Calibri" w:eastAsia="宋体" w:cs="Times New Roman"/>
    </w:rPr>
  </w:style>
  <w:style w:type="paragraph" w:styleId="945" w:customStyle="1">
    <w:name w:val="表格文本"/>
    <w:uiPriority w:val="0"/>
    <w:qFormat/>
    <w:pPr>
      <w:jc w:val="center"/>
    </w:pPr>
    <w:rPr>
      <w:rFonts w:ascii="宋体" w:hAnsi="宋体" w:eastAsia="宋体" w:cs="Times New Roman (标题 CS)"/>
      <w:color w:val="000000" w:themeColor="text1"/>
      <w:sz w:val="24"/>
      <w:szCs w:val="40"/>
      <w:lang w:val="en-US" w:eastAsia="zh-CN" w:bidi="ar-SA"/>
      <w14:textFill>
        <w14:solidFill>
          <w14:schemeClr w14:val="tx1"/>
        </w14:solidFill>
      </w14:textFill>
    </w:rPr>
  </w:style>
  <w:style w:type="paragraph" w:styleId="946" w:customStyle="1">
    <w:name w:val="表格文字"/>
    <w:basedOn w:val="947"/>
    <w:next w:val="873"/>
    <w:uiPriority w:val="0"/>
    <w:qFormat/>
  </w:style>
  <w:style w:type="paragraph" w:styleId="947" w:customStyle="1">
    <w:name w:val="表格文字（两侧对齐）"/>
    <w:basedOn w:val="859"/>
    <w:uiPriority w:val="0"/>
    <w:qFormat/>
    <w:rPr>
      <w:rFonts w:ascii="Calibri" w:hAnsi="Calibri"/>
      <w:sz w:val="20"/>
    </w:rPr>
  </w:style>
  <w:style w:type="paragraph" w:styleId="948" w:customStyle="1">
    <w:name w:val="样式 样式 小四 行距: 1.5 倍行距 + 首行缩进:  3 字符"/>
    <w:basedOn w:val="859"/>
    <w:uiPriority w:val="0"/>
    <w:qFormat/>
    <w:pPr>
      <w:ind w:firstLine="420"/>
    </w:pPr>
    <w:rPr>
      <w:rFonts w:ascii="宋体" w:hAnsi="宋体" w:eastAsia="宋体" w:cs="宋体"/>
      <w:szCs w:val="21"/>
    </w:rPr>
  </w:style>
  <w:style w:type="paragraph" w:styleId="949" w:customStyle="1">
    <w:name w:val="列出段落1"/>
    <w:basedOn w:val="859"/>
    <w:uiPriority w:val="34"/>
    <w:qFormat/>
    <w:pPr>
      <w:ind w:firstLine="420"/>
      <w:spacing w:line="360" w:lineRule="auto"/>
    </w:pPr>
    <w:rPr>
      <w:rFonts w:ascii="Times New Roman" w:hAnsi="Times New Roman" w:eastAsia="宋体" w:cs="Times New Roman"/>
      <w:sz w:val="24"/>
      <w:szCs w:val="24"/>
    </w:rPr>
  </w:style>
  <w:style w:type="paragraph" w:styleId="950" w:customStyle="1">
    <w:name w:val="投标正文"/>
    <w:basedOn w:val="859"/>
    <w:uiPriority w:val="0"/>
    <w:qFormat/>
    <w:pPr>
      <w:ind w:left="567"/>
      <w:spacing w:line="360" w:lineRule="auto"/>
    </w:pPr>
    <w:rPr>
      <w:rFonts w:ascii="Times New Roman" w:hAnsi="Times New Roman"/>
      <w:sz w:val="24"/>
    </w:rPr>
  </w:style>
  <w:style w:type="table" w:styleId="951" w:customStyle="1">
    <w:name w:val="网格型6"/>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2" w:customStyle="1">
    <w:name w:val="网格型22"/>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3" w:customStyle="1">
    <w:name w:val="网格型7"/>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4" w:customStyle="1">
    <w:name w:val="修订11"/>
    <w:hidden/>
    <w:uiPriority w:val="99"/>
    <w:unhideWhenUsed/>
    <w:qFormat/>
    <w:rPr>
      <w:rFonts w:asciiTheme="minorHAnsi" w:hAnsiTheme="minorHAnsi" w:eastAsiaTheme="minorEastAsia" w:cstheme="minorBidi"/>
      <w:sz w:val="21"/>
      <w:szCs w:val="22"/>
      <w:lang w:val="en-US" w:eastAsia="zh-CN" w:bidi="ar-SA"/>
    </w:rPr>
  </w:style>
  <w:style w:type="paragraph" w:styleId="955" w:customStyle="1">
    <w:name w:val="TOC 标题11"/>
    <w:basedOn w:val="860"/>
    <w:next w:val="859"/>
    <w:uiPriority w:val="39"/>
    <w:semiHidden/>
    <w:unhideWhenUsed/>
    <w:qFormat/>
    <w:pPr>
      <w:outlineLvl w:val="9"/>
    </w:pPr>
  </w:style>
  <w:style w:type="table" w:styleId="956" w:customStyle="1">
    <w:name w:val="网格型8"/>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7" w:customStyle="1">
    <w:name w:val="网格型9"/>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8" w:customStyle="1">
    <w:name w:val="网格型12"/>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9" w:customStyle="1">
    <w:name w:val="网格型23"/>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0" w:customStyle="1">
    <w:name w:val="网格型31"/>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1" w:customStyle="1">
    <w:name w:val="网格型41"/>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2" w:customStyle="1">
    <w:name w:val="Table Normal1"/>
    <w:uiPriority w:val="0"/>
    <w:semiHidden/>
    <w:unhideWhenUsed/>
    <w:qFormat/>
    <w:tblPr>
      <w:tblCellMar>
        <w:left w:w="0" w:type="dxa"/>
        <w:top w:w="0" w:type="dxa"/>
        <w:right w:w="0" w:type="dxa"/>
        <w:bottom w:w="0" w:type="dxa"/>
      </w:tblCellMar>
    </w:tblPr>
  </w:style>
  <w:style w:type="table" w:styleId="963" w:customStyle="1">
    <w:name w:val="网格型51"/>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4" w:customStyle="1">
    <w:name w:val="网格型111"/>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5" w:customStyle="1">
    <w:name w:val="网格型211"/>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6" w:customStyle="1">
    <w:name w:val="网格型61"/>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7" w:customStyle="1">
    <w:name w:val="网格型221"/>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customStyle="1">
    <w:name w:val="网格型71"/>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customStyle="1">
    <w:name w:val="网格型10"/>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0" w:customStyle="1">
    <w:name w:val="网格型13"/>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1" w:customStyle="1">
    <w:name w:val="网格型121"/>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2" w:customStyle="1">
    <w:name w:val="网格型231"/>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3" w:customStyle="1">
    <w:name w:val="网格型311"/>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4" w:customStyle="1">
    <w:name w:val="网格型411"/>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5" w:customStyle="1">
    <w:name w:val="Table Normal11"/>
    <w:uiPriority w:val="0"/>
    <w:semiHidden/>
    <w:unhideWhenUsed/>
    <w:qFormat/>
    <w:tblPr>
      <w:tblCellMar>
        <w:left w:w="0" w:type="dxa"/>
        <w:top w:w="0" w:type="dxa"/>
        <w:right w:w="0" w:type="dxa"/>
        <w:bottom w:w="0" w:type="dxa"/>
      </w:tblCellMar>
    </w:tblPr>
  </w:style>
  <w:style w:type="table" w:styleId="976" w:customStyle="1">
    <w:name w:val="网格型511"/>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7" w:customStyle="1">
    <w:name w:val="网格型1111"/>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8" w:customStyle="1">
    <w:name w:val="网格型2111"/>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9" w:customStyle="1">
    <w:name w:val="网格型611"/>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0" w:customStyle="1">
    <w:name w:val="网格型2211"/>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1" w:customStyle="1">
    <w:name w:val="网格型711"/>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2"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7B71FA6-79A5-44B4-BD51-B27AB13ED31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周兆逸</cp:lastModifiedBy>
  <cp:revision>4</cp:revision>
  <dcterms:created xsi:type="dcterms:W3CDTF">2026-06-17T07:53:00Z</dcterms:created>
  <dcterms:modified xsi:type="dcterms:W3CDTF">2026-06-24T01:27:57Z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eyJoZGlkIjoiNjdiYmUwMTI0MzJhNTdiYTU4MGI0NDA3MjI0OGYzYTMiLCJ1c2VySWQiOiI0ODQxMTQzODcifQ==</vt:lpwstr>
  </property>
  <property fmtid="{D5CDD505-2E9C-101B-9397-08002B2CF9AE}" pid="3" name="KSOProductBuildVer">
    <vt:lpwstr>2052-12.1.0.26895</vt:lpwstr>
  </property>
  <property fmtid="{D5CDD505-2E9C-101B-9397-08002B2CF9AE}" pid="4" name="ICV">
    <vt:lpwstr>351B6599D6C248BDA9ABACE8BC4A7964_12</vt:lpwstr>
  </property>
</Properties>
</file>